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600"/>
              <w:left w:type="dxa" w:w="400"/>
              <w:bottom w:type="dxa" w:w="600"/>
              <w:right w:type="dxa" w:w="400"/>
            </w:tcMar>
          </w:tcPr>
          <w:p>
            <w:pPr>
              <w:spacing w:after="80" w:before="0"/>
              <w:jc w:val="center"/>
            </w:pPr>
            <w:r>
              <w:rPr>
                <w:sz w:val="80"/>
                <w:szCs w:val="80"/>
              </w:rPr>
              <w:t xml:space="preserve">🎵</w:t>
            </w:r>
          </w:p>
          <w:p>
            <w:pPr>
              <w:spacing w:after="120" w:before="0"/>
              <w:jc w:val="center"/>
            </w:pPr>
            <w:r>
              <w:rPr>
                <w:rFonts w:ascii="Arial" w:cs="Arial" w:eastAsia="Arial" w:hAnsi="Arial"/>
                <w:b/>
                <w:bCs/>
                <w:color w:val="FFFFFF"/>
                <w:sz w:val="52"/>
                <w:szCs w:val="52"/>
              </w:rPr>
              <w:t xml:space="preserve">Apple iTunes Music Store</w:t>
            </w:r>
          </w:p>
          <w:p>
            <w:pPr>
              <w:spacing w:after="200" w:before="0"/>
              <w:jc w:val="center"/>
            </w:pPr>
            <w:r>
              <w:rPr>
                <w:rFonts w:ascii="Arial" w:cs="Arial" w:eastAsia="Arial" w:hAnsi="Arial"/>
                <w:i/>
                <w:iCs/>
                <w:color w:val="BDD7EE"/>
                <w:sz w:val="30"/>
                <w:szCs w:val="30"/>
              </w:rPr>
              <w:t xml:space="preserve">Comprehensive Business Analysis Report</w:t>
            </w:r>
          </w:p>
          <w:p>
            <w:pPr>
              <w:spacing w:after="0" w:before="0"/>
              <w:jc w:val="center"/>
            </w:pPr>
            <w:r>
              <w:rPr>
                <w:rFonts w:ascii="Arial" w:cs="Arial" w:eastAsia="Arial" w:hAnsi="Arial"/>
                <w:color w:val="9DC3E6"/>
                <w:sz w:val="22"/>
                <w:szCs w:val="22"/>
              </w:rPr>
              <w:t xml:space="preserve">Prepared by: Data Analytics Team  |  2024</w:t>
            </w:r>
          </w:p>
        </w:tc>
      </w:tr>
    </w:tbl>
    <w:p>
      <w:pPr>
        <w:spacing w:after="240" w:before="0"/>
      </w:pPr>
    </w:p>
    <w:p>
      <w:pPr>
        <w:pStyle w:val="Heading1"/>
        <w:pBdr>
          <w:bottom w:val="single" w:color="2E75B6" w:sz="6" w:space="4"/>
        </w:pBdr>
        <w:spacing w:after="120" w:before="360"/>
      </w:pPr>
      <w:r>
        <w:rPr>
          <w:rFonts w:ascii="Arial" w:cs="Arial" w:eastAsia="Arial" w:hAnsi="Arial"/>
          <w:b/>
          <w:bCs/>
          <w:color w:val="1F4E79"/>
          <w:sz w:val="32"/>
          <w:szCs w:val="32"/>
        </w:rPr>
        <w:t xml:space="preserve">Executive Summary</w:t>
      </w:r>
    </w:p>
    <w:p>
      <w:pPr>
        <w:spacing w:after="100" w:before="80"/>
        <w:jc w:val="both"/>
      </w:pPr>
      <w:r>
        <w:rPr>
          <w:rFonts w:ascii="Arial" w:cs="Arial" w:eastAsia="Arial" w:hAnsi="Arial"/>
          <w:b w:val="false"/>
          <w:bCs w:val="false"/>
          <w:i w:val="false"/>
          <w:iCs w:val="false"/>
          <w:color w:val="333333"/>
          <w:sz w:val="22"/>
          <w:szCs w:val="22"/>
        </w:rPr>
        <w:t xml:space="preserve">This report presents a comprehensive analysis of the Apple iTunes Music Store relational database, covering customer behavior, music preferences, sales performance, and operational efficiency. The analysis is based on 614 invoices from 59 customers across multiple countries, revealing key patterns in revenue generation and music consumption trends.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40" w:before="0"/>
              <w:jc w:val="center"/>
            </w:pPr>
            <w:r>
              <w:rPr>
                <w:rFonts w:ascii="Arial" w:cs="Arial" w:eastAsia="Arial" w:hAnsi="Arial"/>
                <w:b/>
                <w:bCs/>
                <w:color w:val="1F4E79"/>
                <w:sz w:val="40"/>
                <w:szCs w:val="40"/>
              </w:rPr>
              <w:t xml:space="preserve">$4,709.43</w:t>
            </w:r>
          </w:p>
          <w:p>
            <w:pPr>
              <w:spacing w:after="0" w:before="0"/>
              <w:jc w:val="center"/>
            </w:pPr>
            <w:r>
              <w:rPr>
                <w:rFonts w:ascii="Arial" w:cs="Arial" w:eastAsia="Arial" w:hAnsi="Arial"/>
                <w:color w:val="666666"/>
                <w:sz w:val="18"/>
                <w:szCs w:val="18"/>
              </w:rPr>
              <w:t xml:space="preserve">Total Revenue</w:t>
            </w:r>
          </w:p>
        </w:tc>
        <w:tc>
          <w:tcPr>
            <w:tcW w:type="dxa" w:w="2340"/>
            <w:tcBorders>
              <w:top w:val="none" w:color="FFFFFF" w:sz="0"/>
              <w:left w:val="none" w:color="FFFFFF" w:sz="0"/>
              <w:bottom w:val="none" w:color="FFFFFF" w:sz="0"/>
              <w:right w:val="none" w:color="FFFFFF" w:sz="0"/>
            </w:tcBorders>
            <w:shd w:fill="E2F0E8" w:val="clear"/>
            <w:tcMar>
              <w:top w:type="dxa" w:w="160"/>
              <w:left w:type="dxa" w:w="200"/>
              <w:bottom w:type="dxa" w:w="160"/>
              <w:right w:type="dxa" w:w="200"/>
            </w:tcMar>
          </w:tcPr>
          <w:p>
            <w:pPr>
              <w:spacing w:after="40" w:before="0"/>
              <w:jc w:val="center"/>
            </w:pPr>
            <w:r>
              <w:rPr>
                <w:rFonts w:ascii="Arial" w:cs="Arial" w:eastAsia="Arial" w:hAnsi="Arial"/>
                <w:b/>
                <w:bCs/>
                <w:color w:val="1E7B34"/>
                <w:sz w:val="40"/>
                <w:szCs w:val="40"/>
              </w:rPr>
              <w:t xml:space="preserve">59</w:t>
            </w:r>
          </w:p>
          <w:p>
            <w:pPr>
              <w:spacing w:after="0" w:before="0"/>
              <w:jc w:val="center"/>
            </w:pPr>
            <w:r>
              <w:rPr>
                <w:rFonts w:ascii="Arial" w:cs="Arial" w:eastAsia="Arial" w:hAnsi="Arial"/>
                <w:color w:val="666666"/>
                <w:sz w:val="18"/>
                <w:szCs w:val="18"/>
              </w:rPr>
              <w:t xml:space="preserve">Total Customers</w:t>
            </w:r>
          </w:p>
        </w:tc>
        <w:tc>
          <w:tcPr>
            <w:tcW w:type="dxa" w:w="234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40" w:before="0"/>
              <w:jc w:val="center"/>
            </w:pPr>
            <w:r>
              <w:rPr>
                <w:rFonts w:ascii="Arial" w:cs="Arial" w:eastAsia="Arial" w:hAnsi="Arial"/>
                <w:b/>
                <w:bCs/>
                <w:color w:val="1F4E79"/>
                <w:sz w:val="40"/>
                <w:szCs w:val="40"/>
              </w:rPr>
              <w:t xml:space="preserve">614</w:t>
            </w:r>
          </w:p>
          <w:p>
            <w:pPr>
              <w:spacing w:after="0" w:before="0"/>
              <w:jc w:val="center"/>
            </w:pPr>
            <w:r>
              <w:rPr>
                <w:rFonts w:ascii="Arial" w:cs="Arial" w:eastAsia="Arial" w:hAnsi="Arial"/>
                <w:color w:val="666666"/>
                <w:sz w:val="18"/>
                <w:szCs w:val="18"/>
              </w:rPr>
              <w:t xml:space="preserve">Total Invoices</w:t>
            </w:r>
          </w:p>
        </w:tc>
        <w:tc>
          <w:tcPr>
            <w:tcW w:type="dxa" w:w="2340"/>
            <w:tcBorders>
              <w:top w:val="none" w:color="FFFFFF" w:sz="0"/>
              <w:left w:val="none" w:color="FFFFFF" w:sz="0"/>
              <w:bottom w:val="none" w:color="FFFFFF" w:sz="0"/>
              <w:right w:val="none" w:color="FFFFFF" w:sz="0"/>
            </w:tcBorders>
            <w:shd w:fill="FCE4D6" w:val="clear"/>
            <w:tcMar>
              <w:top w:type="dxa" w:w="160"/>
              <w:left w:type="dxa" w:w="200"/>
              <w:bottom w:type="dxa" w:w="160"/>
              <w:right w:type="dxa" w:w="200"/>
            </w:tcMar>
          </w:tcPr>
          <w:p>
            <w:pPr>
              <w:spacing w:after="40" w:before="0"/>
              <w:jc w:val="center"/>
            </w:pPr>
            <w:r>
              <w:rPr>
                <w:rFonts w:ascii="Arial" w:cs="Arial" w:eastAsia="Arial" w:hAnsi="Arial"/>
                <w:b/>
                <w:bCs/>
                <w:color w:val="C55A11"/>
                <w:sz w:val="40"/>
                <w:szCs w:val="40"/>
              </w:rPr>
              <w:t xml:space="preserve">$7.67</w:t>
            </w:r>
          </w:p>
          <w:p>
            <w:pPr>
              <w:spacing w:after="0" w:before="0"/>
              <w:jc w:val="center"/>
            </w:pPr>
            <w:r>
              <w:rPr>
                <w:rFonts w:ascii="Arial" w:cs="Arial" w:eastAsia="Arial" w:hAnsi="Arial"/>
                <w:color w:val="666666"/>
                <w:sz w:val="18"/>
                <w:szCs w:val="18"/>
              </w:rPr>
              <w:t xml:space="preserve">Avg Invoice Value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40" w:before="0"/>
              <w:jc w:val="center"/>
            </w:pPr>
            <w:r>
              <w:rPr>
                <w:rFonts w:ascii="Arial" w:cs="Arial" w:eastAsia="Arial" w:hAnsi="Arial"/>
                <w:b/>
                <w:bCs/>
                <w:color w:val="1F4E79"/>
                <w:sz w:val="40"/>
                <w:szCs w:val="40"/>
              </w:rPr>
              <w:t xml:space="preserve">$79.82</w:t>
            </w:r>
          </w:p>
          <w:p>
            <w:pPr>
              <w:spacing w:after="0" w:before="0"/>
              <w:jc w:val="center"/>
            </w:pPr>
            <w:r>
              <w:rPr>
                <w:rFonts w:ascii="Arial" w:cs="Arial" w:eastAsia="Arial" w:hAnsi="Arial"/>
                <w:color w:val="666666"/>
                <w:sz w:val="18"/>
                <w:szCs w:val="18"/>
              </w:rPr>
              <w:t xml:space="preserve">Avg Customer LTV</w:t>
            </w:r>
          </w:p>
        </w:tc>
        <w:tc>
          <w:tcPr>
            <w:tcW w:type="dxa" w:w="2340"/>
            <w:tcBorders>
              <w:top w:val="none" w:color="FFFFFF" w:sz="0"/>
              <w:left w:val="none" w:color="FFFFFF" w:sz="0"/>
              <w:bottom w:val="none" w:color="FFFFFF" w:sz="0"/>
              <w:right w:val="none" w:color="FFFFFF" w:sz="0"/>
            </w:tcBorders>
            <w:shd w:fill="E2F0E8" w:val="clear"/>
            <w:tcMar>
              <w:top w:type="dxa" w:w="160"/>
              <w:left w:type="dxa" w:w="200"/>
              <w:bottom w:type="dxa" w:w="160"/>
              <w:right w:type="dxa" w:w="200"/>
            </w:tcMar>
          </w:tcPr>
          <w:p>
            <w:pPr>
              <w:spacing w:after="40" w:before="0"/>
              <w:jc w:val="center"/>
            </w:pPr>
            <w:r>
              <w:rPr>
                <w:rFonts w:ascii="Arial" w:cs="Arial" w:eastAsia="Arial" w:hAnsi="Arial"/>
                <w:b/>
                <w:bCs/>
                <w:color w:val="1E7B34"/>
                <w:sz w:val="40"/>
                <w:szCs w:val="40"/>
              </w:rPr>
              <w:t xml:space="preserve">100%</w:t>
            </w:r>
          </w:p>
          <w:p>
            <w:pPr>
              <w:spacing w:after="0" w:before="0"/>
              <w:jc w:val="center"/>
            </w:pPr>
            <w:r>
              <w:rPr>
                <w:rFonts w:ascii="Arial" w:cs="Arial" w:eastAsia="Arial" w:hAnsi="Arial"/>
                <w:color w:val="666666"/>
                <w:sz w:val="18"/>
                <w:szCs w:val="18"/>
              </w:rPr>
              <w:t xml:space="preserve">Repeat Customer Rate</w:t>
            </w:r>
          </w:p>
        </w:tc>
        <w:tc>
          <w:tcPr>
            <w:tcW w:type="dxa" w:w="234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40" w:before="0"/>
              <w:jc w:val="center"/>
            </w:pPr>
            <w:r>
              <w:rPr>
                <w:rFonts w:ascii="Arial" w:cs="Arial" w:eastAsia="Arial" w:hAnsi="Arial"/>
                <w:b/>
                <w:bCs/>
                <w:color w:val="1F4E79"/>
                <w:sz w:val="40"/>
                <w:szCs w:val="40"/>
              </w:rPr>
              <w:t xml:space="preserve">3,503</w:t>
            </w:r>
          </w:p>
          <w:p>
            <w:pPr>
              <w:spacing w:after="0" w:before="0"/>
              <w:jc w:val="center"/>
            </w:pPr>
            <w:r>
              <w:rPr>
                <w:rFonts w:ascii="Arial" w:cs="Arial" w:eastAsia="Arial" w:hAnsi="Arial"/>
                <w:color w:val="666666"/>
                <w:sz w:val="18"/>
                <w:szCs w:val="18"/>
              </w:rPr>
              <w:t xml:space="preserve">Total Tracks</w:t>
            </w:r>
          </w:p>
        </w:tc>
        <w:tc>
          <w:tcPr>
            <w:tcW w:type="dxa" w:w="2340"/>
            <w:tcBorders>
              <w:top w:val="none" w:color="FFFFFF" w:sz="0"/>
              <w:left w:val="none" w:color="FFFFFF" w:sz="0"/>
              <w:bottom w:val="none" w:color="FFFFFF" w:sz="0"/>
              <w:right w:val="none" w:color="FFFFFF" w:sz="0"/>
            </w:tcBorders>
            <w:shd w:fill="FCE4D6" w:val="clear"/>
            <w:tcMar>
              <w:top w:type="dxa" w:w="160"/>
              <w:left w:type="dxa" w:w="200"/>
              <w:bottom w:type="dxa" w:w="160"/>
              <w:right w:type="dxa" w:w="200"/>
            </w:tcMar>
          </w:tcPr>
          <w:p>
            <w:pPr>
              <w:spacing w:after="40" w:before="0"/>
              <w:jc w:val="center"/>
            </w:pPr>
            <w:r>
              <w:rPr>
                <w:rFonts w:ascii="Arial" w:cs="Arial" w:eastAsia="Arial" w:hAnsi="Arial"/>
                <w:b/>
                <w:bCs/>
                <w:color w:val="C55A11"/>
                <w:sz w:val="40"/>
                <w:szCs w:val="40"/>
              </w:rPr>
              <w:t xml:space="preserve">1,697</w:t>
            </w:r>
          </w:p>
          <w:p>
            <w:pPr>
              <w:spacing w:after="0" w:before="0"/>
              <w:jc w:val="center"/>
            </w:pPr>
            <w:r>
              <w:rPr>
                <w:rFonts w:ascii="Arial" w:cs="Arial" w:eastAsia="Arial" w:hAnsi="Arial"/>
                <w:color w:val="666666"/>
                <w:sz w:val="18"/>
                <w:szCs w:val="18"/>
              </w:rPr>
              <w:t xml:space="preserve">Unpurchased Tracks</w:t>
            </w:r>
          </w:p>
        </w:tc>
      </w:tr>
    </w:tbl>
    <w:p>
      <w:pPr>
        <w:spacing w:after="240" w:before="0"/>
      </w:pPr>
    </w:p>
    <w:p>
      <w:pPr>
        <w:pBdr>
          <w:bottom w:val="single" w:color="DDDDDD" w:sz="2" w:space="1"/>
        </w:pBdr>
        <w:spacing w:after="160" w:before="160"/>
      </w:pPr>
    </w:p>
    <w:p>
      <w:pPr>
        <w:pStyle w:val="Heading1"/>
        <w:pBdr>
          <w:bottom w:val="single" w:color="2E75B6" w:sz="6" w:space="4"/>
        </w:pBdr>
        <w:spacing w:after="120" w:before="360"/>
      </w:pPr>
      <w:r>
        <w:rPr>
          <w:rFonts w:ascii="Arial" w:cs="Arial" w:eastAsia="Arial" w:hAnsi="Arial"/>
          <w:b/>
          <w:bCs/>
          <w:color w:val="1F4E79"/>
          <w:sz w:val="32"/>
          <w:szCs w:val="32"/>
        </w:rPr>
        <w:t xml:space="preserve">1. Customer Analytics</w:t>
      </w:r>
    </w:p>
    <w:p>
      <w:pPr>
        <w:pStyle w:val="Heading2"/>
        <w:spacing w:after="100" w:before="280"/>
      </w:pPr>
      <w:r>
        <w:rPr>
          <w:rFonts w:ascii="Arial" w:cs="Arial" w:eastAsia="Arial" w:hAnsi="Arial"/>
          <w:b/>
          <w:bCs/>
          <w:color w:val="2E75B6"/>
          <w:sz w:val="26"/>
          <w:szCs w:val="26"/>
        </w:rPr>
        <w:t xml:space="preserve">1.1 Top Spending Customers</w:t>
      </w:r>
    </w:p>
    <w:p>
      <w:pPr>
        <w:spacing w:after="100" w:before="80"/>
        <w:jc w:val="left"/>
      </w:pPr>
      <w:r>
        <w:rPr>
          <w:rFonts w:ascii="Arial" w:cs="Arial" w:eastAsia="Arial" w:hAnsi="Arial"/>
          <w:b w:val="false"/>
          <w:bCs w:val="false"/>
          <w:i w:val="false"/>
          <w:iCs w:val="false"/>
          <w:color w:val="333333"/>
          <w:sz w:val="22"/>
          <w:szCs w:val="22"/>
        </w:rPr>
        <w:t xml:space="preserve">The following customers generated the highest lifetime revenue for the store: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Rank</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Customer Name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Country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Total Spent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František Wichterlová</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Czech Republic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$144.54</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Helena Holý</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Czech Republic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$128.70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Hugh O'Reilly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Ireland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$114.84</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Manoj Pareek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India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$111.87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Luís Gonçalves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Brazil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$108.90</w:t>
            </w:r>
          </w:p>
        </w:tc>
      </w:tr>
    </w:tbl>
    <w:p>
      <w:pPr>
        <w:spacing w:after="240" w:before="0"/>
      </w:pPr>
    </w:p>
    <w:p>
      <w:pPr>
        <w:pStyle w:val="Heading2"/>
        <w:spacing w:after="100" w:before="280"/>
      </w:pPr>
      <w:r>
        <w:rPr>
          <w:rFonts w:ascii="Arial" w:cs="Arial" w:eastAsia="Arial" w:hAnsi="Arial"/>
          <w:b/>
          <w:bCs/>
          <w:color w:val="2E75B6"/>
          <w:sz w:val="26"/>
          <w:szCs w:val="26"/>
        </w:rPr>
        <w:t xml:space="preserve">1.2 Customer Purchase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2F0E8" w:val="clear"/>
            <w:tcMar>
              <w:top w:type="dxa" w:w="160"/>
              <w:left w:type="dxa" w:w="200"/>
              <w:bottom w:type="dxa" w:w="160"/>
              <w:right w:type="dxa" w:w="200"/>
            </w:tcMar>
          </w:tcPr>
          <w:p>
            <w:pPr>
              <w:spacing w:after="40" w:before="0"/>
              <w:jc w:val="center"/>
            </w:pPr>
            <w:r>
              <w:rPr>
                <w:rFonts w:ascii="Arial" w:cs="Arial" w:eastAsia="Arial" w:hAnsi="Arial"/>
                <w:b/>
                <w:bCs/>
                <w:color w:val="1E7B34"/>
                <w:sz w:val="40"/>
                <w:szCs w:val="40"/>
              </w:rPr>
              <w:t xml:space="preserve">59 (100%)</w:t>
            </w:r>
          </w:p>
          <w:p>
            <w:pPr>
              <w:spacing w:after="0" w:before="0"/>
              <w:jc w:val="center"/>
            </w:pPr>
            <w:r>
              <w:rPr>
                <w:rFonts w:ascii="Arial" w:cs="Arial" w:eastAsia="Arial" w:hAnsi="Arial"/>
                <w:color w:val="666666"/>
                <w:sz w:val="18"/>
                <w:szCs w:val="18"/>
              </w:rPr>
              <w:t xml:space="preserve">Repeat Customers</w:t>
            </w:r>
          </w:p>
        </w:tc>
        <w:tc>
          <w:tcPr>
            <w:tcW w:type="dxa" w:w="312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40" w:before="0"/>
              <w:jc w:val="center"/>
            </w:pPr>
            <w:r>
              <w:rPr>
                <w:rFonts w:ascii="Arial" w:cs="Arial" w:eastAsia="Arial" w:hAnsi="Arial"/>
                <w:b/>
                <w:bCs/>
                <w:color w:val="1F4E79"/>
                <w:sz w:val="40"/>
                <w:szCs w:val="40"/>
              </w:rPr>
              <w:t xml:space="preserve">0 (0%)</w:t>
            </w:r>
          </w:p>
          <w:p>
            <w:pPr>
              <w:spacing w:after="0" w:before="0"/>
              <w:jc w:val="center"/>
            </w:pPr>
            <w:r>
              <w:rPr>
                <w:rFonts w:ascii="Arial" w:cs="Arial" w:eastAsia="Arial" w:hAnsi="Arial"/>
                <w:color w:val="666666"/>
                <w:sz w:val="18"/>
                <w:szCs w:val="18"/>
              </w:rPr>
              <w:t xml:space="preserve">One-time Customers</w:t>
            </w:r>
          </w:p>
        </w:tc>
        <w:tc>
          <w:tcPr>
            <w:tcW w:type="dxa" w:w="312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40" w:before="0"/>
              <w:jc w:val="center"/>
            </w:pPr>
            <w:r>
              <w:rPr>
                <w:rFonts w:ascii="Arial" w:cs="Arial" w:eastAsia="Arial" w:hAnsi="Arial"/>
                <w:b/>
                <w:bCs/>
                <w:color w:val="1F4E79"/>
                <w:sz w:val="40"/>
                <w:szCs w:val="40"/>
              </w:rPr>
              <w:t xml:space="preserve">$79.82</w:t>
            </w:r>
          </w:p>
          <w:p>
            <w:pPr>
              <w:spacing w:after="0" w:before="0"/>
              <w:jc w:val="center"/>
            </w:pPr>
            <w:r>
              <w:rPr>
                <w:rFonts w:ascii="Arial" w:cs="Arial" w:eastAsia="Arial" w:hAnsi="Arial"/>
                <w:color w:val="666666"/>
                <w:sz w:val="18"/>
                <w:szCs w:val="18"/>
              </w:rPr>
              <w:t xml:space="preserve">Avg LTV</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7B34" w:sz="18"/>
              <w:bottom w:val="none" w:color="FFFFFF" w:sz="0"/>
              <w:right w:val="none" w:color="FFFFFF" w:sz="0"/>
            </w:tcBorders>
            <w:shd w:fill="E2F0E8" w:val="clear"/>
            <w:tcMar>
              <w:top w:type="dxa" w:w="100"/>
              <w:left w:type="dxa" w:w="200"/>
              <w:bottom w:type="dxa" w:w="100"/>
              <w:right w:type="dxa" w:w="200"/>
            </w:tcMar>
          </w:tcPr>
          <w:p>
            <w:pPr>
              <w:spacing w:after="0" w:before="0"/>
            </w:pPr>
            <w:r>
              <w:rPr>
                <w:rFonts w:ascii="Arial" w:cs="Arial" w:eastAsia="Arial" w:hAnsi="Arial"/>
                <w:i/>
                <w:iCs/>
                <w:color w:val="333333"/>
                <w:sz w:val="21"/>
                <w:szCs w:val="21"/>
              </w:rPr>
              <w:t xml:space="preserve">Key Insight: Every single customer in the database has made repeat purchases — a 100% retention rate. This indicates exceptional customer loyalty and satisfaction with the iTunes platform.</w:t>
            </w:r>
          </w:p>
        </w:tc>
      </w:tr>
    </w:tbl>
    <w:p>
      <w:pPr>
        <w:spacing w:after="240" w:before="0"/>
      </w:pPr>
    </w:p>
    <w:p>
      <w:pPr>
        <w:pBdr>
          <w:bottom w:val="single" w:color="DDDDDD" w:sz="2" w:space="1"/>
        </w:pBdr>
        <w:spacing w:after="160" w:before="160"/>
      </w:pPr>
    </w:p>
    <w:p>
      <w:pPr>
        <w:pStyle w:val="Heading1"/>
        <w:pBdr>
          <w:bottom w:val="single" w:color="2E75B6" w:sz="6" w:space="4"/>
        </w:pBdr>
        <w:spacing w:after="120" w:before="360"/>
      </w:pPr>
      <w:r>
        <w:rPr>
          <w:rFonts w:ascii="Arial" w:cs="Arial" w:eastAsia="Arial" w:hAnsi="Arial"/>
          <w:b/>
          <w:bCs/>
          <w:color w:val="1F4E79"/>
          <w:sz w:val="32"/>
          <w:szCs w:val="32"/>
        </w:rPr>
        <w:t xml:space="preserve">2. Sales &amp; Revenue Analysis</w:t>
      </w:r>
    </w:p>
    <w:p>
      <w:pPr>
        <w:pStyle w:val="Heading2"/>
        <w:spacing w:after="100" w:before="280"/>
      </w:pPr>
      <w:r>
        <w:rPr>
          <w:rFonts w:ascii="Arial" w:cs="Arial" w:eastAsia="Arial" w:hAnsi="Arial"/>
          <w:b/>
          <w:bCs/>
          <w:color w:val="2E75B6"/>
          <w:sz w:val="26"/>
          <w:szCs w:val="26"/>
        </w:rPr>
        <w:t xml:space="preserve">2.1 Revenue by Country</w:t>
      </w:r>
    </w:p>
    <w:p>
      <w:pPr>
        <w:spacing w:after="100" w:before="80"/>
        <w:jc w:val="left"/>
      </w:pPr>
      <w:r>
        <w:rPr>
          <w:rFonts w:ascii="Arial" w:cs="Arial" w:eastAsia="Arial" w:hAnsi="Arial"/>
          <w:b w:val="false"/>
          <w:bCs w:val="false"/>
          <w:i w:val="false"/>
          <w:iCs w:val="false"/>
          <w:color w:val="333333"/>
          <w:sz w:val="22"/>
          <w:szCs w:val="22"/>
        </w:rPr>
        <w:t xml:space="preserve">The United States dominates revenue generation, contributing over 22% of total store revenue: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Rank</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Country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Total Revenue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Revenue Share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USA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$1,040.49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22.1%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Canada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$535.59</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11.4%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Brazil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$427.68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9.1%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France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$389.07</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8.3%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Germany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$334.62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7.1%</w:t>
            </w:r>
          </w:p>
        </w:tc>
      </w:tr>
    </w:tbl>
    <w:p>
      <w:pPr>
        <w:spacing w:after="240" w:before="0"/>
      </w:pPr>
    </w:p>
    <w:p>
      <w:pPr>
        <w:pStyle w:val="Heading2"/>
        <w:spacing w:after="100" w:before="280"/>
      </w:pPr>
      <w:r>
        <w:rPr>
          <w:rFonts w:ascii="Arial" w:cs="Arial" w:eastAsia="Arial" w:hAnsi="Arial"/>
          <w:b/>
          <w:bCs/>
          <w:color w:val="2E75B6"/>
          <w:sz w:val="26"/>
          <w:szCs w:val="26"/>
        </w:rPr>
        <w:t xml:space="preserve">2.2 Employee Sales Performance</w:t>
      </w:r>
    </w:p>
    <w:p>
      <w:pPr>
        <w:spacing w:after="100" w:before="80"/>
        <w:jc w:val="left"/>
      </w:pPr>
      <w:r>
        <w:rPr>
          <w:rFonts w:ascii="Arial" w:cs="Arial" w:eastAsia="Arial" w:hAnsi="Arial"/>
          <w:b w:val="false"/>
          <w:bCs w:val="false"/>
          <w:i w:val="false"/>
          <w:iCs w:val="false"/>
          <w:color w:val="333333"/>
          <w:sz w:val="22"/>
          <w:szCs w:val="22"/>
        </w:rPr>
        <w:t xml:space="preserve">Three support representatives handle all customer accounts. Their revenue performance is as follows: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Employee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Total Invoices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Total Revenue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Avg per Invoice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Jane Peacock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212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$1,731.51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$8.17</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Margaret Park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214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$1,584.00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$7.40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Steve Johnson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188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$1,393.92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$7.41</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6E4F0" w:val="clear"/>
            <w:tcMar>
              <w:top w:type="dxa" w:w="100"/>
              <w:left w:type="dxa" w:w="200"/>
              <w:bottom w:type="dxa" w:w="100"/>
              <w:right w:type="dxa" w:w="200"/>
            </w:tcMar>
          </w:tcPr>
          <w:p>
            <w:pPr>
              <w:spacing w:after="0" w:before="0"/>
            </w:pPr>
            <w:r>
              <w:rPr>
                <w:rFonts w:ascii="Arial" w:cs="Arial" w:eastAsia="Arial" w:hAnsi="Arial"/>
                <w:i/>
                <w:iCs/>
                <w:color w:val="333333"/>
                <w:sz w:val="21"/>
                <w:szCs w:val="21"/>
              </w:rPr>
              <w:t xml:space="preserve">Jane Peacock leads in total revenue ($1,731.51) and average invoice value ($8.17), suggesting she manages higher-value customer segments. All three representatives show comparable productivity in terms of invoice count.</w:t>
            </w:r>
          </w:p>
        </w:tc>
      </w:tr>
    </w:tbl>
    <w:p>
      <w:pPr>
        <w:spacing w:after="240" w:before="0"/>
      </w:pPr>
    </w:p>
    <w:p>
      <w:pPr>
        <w:pBdr>
          <w:bottom w:val="single" w:color="DDDDDD" w:sz="2" w:space="1"/>
        </w:pBdr>
        <w:spacing w:after="160" w:before="160"/>
      </w:pPr>
    </w:p>
    <w:p>
      <w:pPr>
        <w:pStyle w:val="Heading1"/>
        <w:pBdr>
          <w:bottom w:val="single" w:color="2E75B6" w:sz="6" w:space="4"/>
        </w:pBdr>
        <w:spacing w:after="120" w:before="360"/>
      </w:pPr>
      <w:r>
        <w:rPr>
          <w:rFonts w:ascii="Arial" w:cs="Arial" w:eastAsia="Arial" w:hAnsi="Arial"/>
          <w:b/>
          <w:bCs/>
          <w:color w:val="1F4E79"/>
          <w:sz w:val="32"/>
          <w:szCs w:val="32"/>
        </w:rPr>
        <w:t xml:space="preserve">3. Genre &amp; Artist Performance</w:t>
      </w:r>
    </w:p>
    <w:p>
      <w:pPr>
        <w:pStyle w:val="Heading2"/>
        <w:spacing w:after="100" w:before="280"/>
      </w:pPr>
      <w:r>
        <w:rPr>
          <w:rFonts w:ascii="Arial" w:cs="Arial" w:eastAsia="Arial" w:hAnsi="Arial"/>
          <w:b/>
          <w:bCs/>
          <w:color w:val="2E75B6"/>
          <w:sz w:val="26"/>
          <w:szCs w:val="26"/>
        </w:rPr>
        <w:t xml:space="preserve">3.1 Top Genres by Revenue</w:t>
      </w:r>
    </w:p>
    <w:p>
      <w:pPr>
        <w:spacing w:after="100" w:before="80"/>
        <w:jc w:val="left"/>
      </w:pPr>
      <w:r>
        <w:rPr>
          <w:rFonts w:ascii="Arial" w:cs="Arial" w:eastAsia="Arial" w:hAnsi="Arial"/>
          <w:b w:val="false"/>
          <w:bCs w:val="false"/>
          <w:i w:val="false"/>
          <w:iCs w:val="false"/>
          <w:color w:val="333333"/>
          <w:sz w:val="22"/>
          <w:szCs w:val="22"/>
        </w:rPr>
        <w:t xml:space="preserve">Rock dominates the store's revenue with an overwhelming lead over other genres: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Genre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Tracks Sold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Total Revenue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Revenue Share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2,635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$2,608.65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55.4%</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Metal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619</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$612.81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13.0%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Alternative &amp; Punk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492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$487.08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10.3%</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Latin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167</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$165.33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3.5%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R&amp;B/Soul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159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$157.41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3.3%</w:t>
            </w:r>
          </w:p>
        </w:tc>
      </w:tr>
    </w:tbl>
    <w:p>
      <w:pPr>
        <w:spacing w:after="240" w:before="0"/>
      </w:pPr>
    </w:p>
    <w:p>
      <w:pPr>
        <w:pStyle w:val="Heading2"/>
        <w:spacing w:after="100" w:before="280"/>
      </w:pPr>
      <w:r>
        <w:rPr>
          <w:rFonts w:ascii="Arial" w:cs="Arial" w:eastAsia="Arial" w:hAnsi="Arial"/>
          <w:b/>
          <w:bCs/>
          <w:color w:val="2E75B6"/>
          <w:sz w:val="26"/>
          <w:szCs w:val="26"/>
        </w:rPr>
        <w:t xml:space="preserve">3.2 Top Artists by Revenue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Rank</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Artist Name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Total Revenue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Queen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$190.08</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Jimi Hendrix</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$185.13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Nirvana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$128.70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Red Hot Chili Peppers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$128.70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Pearl Jam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$127.71</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5A11" w:sz="18"/>
              <w:bottom w:val="none" w:color="FFFFFF" w:sz="0"/>
              <w:right w:val="none" w:color="FFFFFF" w:sz="0"/>
            </w:tcBorders>
            <w:shd w:fill="FCE4D6" w:val="clear"/>
            <w:tcMar>
              <w:top w:type="dxa" w:w="100"/>
              <w:left w:type="dxa" w:w="200"/>
              <w:bottom w:type="dxa" w:w="100"/>
              <w:right w:type="dxa" w:w="200"/>
            </w:tcMar>
          </w:tcPr>
          <w:p>
            <w:pPr>
              <w:spacing w:after="0" w:before="0"/>
            </w:pPr>
            <w:r>
              <w:rPr>
                <w:rFonts w:ascii="Arial" w:cs="Arial" w:eastAsia="Arial" w:hAnsi="Arial"/>
                <w:i/>
                <w:iCs/>
                <w:color w:val="333333"/>
                <w:sz w:val="21"/>
                <w:szCs w:val="21"/>
              </w:rPr>
              <w:t xml:space="preserve">Rock, Metal, and Alternative &amp; Punk together account for ~79% of total revenue. The store's catalog is heavily weighted toward rock-based genres, which aligns with customer purchasing patterns. Diversification into other genres could unlock new revenue streams.</w:t>
            </w:r>
          </w:p>
        </w:tc>
      </w:tr>
    </w:tbl>
    <w:p>
      <w:pPr>
        <w:spacing w:after="240" w:before="0"/>
      </w:pPr>
    </w:p>
    <w:p>
      <w:pPr>
        <w:pBdr>
          <w:bottom w:val="single" w:color="DDDDDD" w:sz="2" w:space="1"/>
        </w:pBdr>
        <w:spacing w:after="160" w:before="160"/>
      </w:pPr>
    </w:p>
    <w:p>
      <w:pPr>
        <w:pStyle w:val="Heading1"/>
        <w:pBdr>
          <w:bottom w:val="single" w:color="2E75B6" w:sz="6" w:space="4"/>
        </w:pBdr>
        <w:spacing w:after="120" w:before="360"/>
      </w:pPr>
      <w:r>
        <w:rPr>
          <w:rFonts w:ascii="Arial" w:cs="Arial" w:eastAsia="Arial" w:hAnsi="Arial"/>
          <w:b/>
          <w:bCs/>
          <w:color w:val="1F4E79"/>
          <w:sz w:val="32"/>
          <w:szCs w:val="32"/>
        </w:rPr>
        <w:t xml:space="preserve">4. Product &amp; Content Analysis</w:t>
      </w:r>
    </w:p>
    <w:p>
      <w:pPr>
        <w:pStyle w:val="Heading2"/>
        <w:spacing w:after="100" w:before="280"/>
      </w:pPr>
      <w:r>
        <w:rPr>
          <w:rFonts w:ascii="Arial" w:cs="Arial" w:eastAsia="Arial" w:hAnsi="Arial"/>
          <w:b/>
          <w:bCs/>
          <w:color w:val="2E75B6"/>
          <w:sz w:val="26"/>
          <w:szCs w:val="26"/>
        </w:rPr>
        <w:t xml:space="preserve">4.1 Media Type Distribution</w:t>
      </w:r>
    </w:p>
    <w:p>
      <w:pPr>
        <w:spacing w:after="100" w:before="80"/>
        <w:jc w:val="left"/>
      </w:pPr>
      <w:r>
        <w:rPr>
          <w:rFonts w:ascii="Arial" w:cs="Arial" w:eastAsia="Arial" w:hAnsi="Arial"/>
          <w:b w:val="false"/>
          <w:bCs w:val="false"/>
          <w:i w:val="false"/>
          <w:iCs w:val="false"/>
          <w:color w:val="333333"/>
          <w:sz w:val="22"/>
          <w:szCs w:val="22"/>
        </w:rPr>
        <w:t xml:space="preserve">MPEG audio remains the dominant format, accounting for the vast majority of purchases: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Media Type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Revenue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Share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MPEG audio 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$4,216.41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89.5%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Protected AAC audio file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$434.61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9.2%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Purchased AAC audio 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$34.65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0.7%</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AAC audio file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$20.79</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333333"/>
                <w:sz w:val="20"/>
                <w:szCs w:val="20"/>
              </w:rPr>
              <w:t xml:space="preserve">0.4%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Protected MPEG-4 video 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$2.97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0.1%</w:t>
            </w:r>
          </w:p>
        </w:tc>
      </w:tr>
    </w:tbl>
    <w:p>
      <w:pPr>
        <w:spacing w:after="240" w:before="0"/>
      </w:pPr>
    </w:p>
    <w:p>
      <w:pPr>
        <w:pStyle w:val="Heading2"/>
        <w:spacing w:after="100" w:before="280"/>
      </w:pPr>
      <w:r>
        <w:rPr>
          <w:rFonts w:ascii="Arial" w:cs="Arial" w:eastAsia="Arial" w:hAnsi="Arial"/>
          <w:b/>
          <w:bCs/>
          <w:color w:val="2E75B6"/>
          <w:sz w:val="26"/>
          <w:szCs w:val="26"/>
        </w:rPr>
        <w:t xml:space="preserve">4.2 Unpurchased Tracks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40" w:before="0"/>
              <w:jc w:val="center"/>
            </w:pPr>
            <w:r>
              <w:rPr>
                <w:rFonts w:ascii="Arial" w:cs="Arial" w:eastAsia="Arial" w:hAnsi="Arial"/>
                <w:b/>
                <w:bCs/>
                <w:color w:val="1F4E79"/>
                <w:sz w:val="40"/>
                <w:szCs w:val="40"/>
              </w:rPr>
              <w:t xml:space="preserve">3,503</w:t>
            </w:r>
          </w:p>
          <w:p>
            <w:pPr>
              <w:spacing w:after="0" w:before="0"/>
              <w:jc w:val="center"/>
            </w:pPr>
            <w:r>
              <w:rPr>
                <w:rFonts w:ascii="Arial" w:cs="Arial" w:eastAsia="Arial" w:hAnsi="Arial"/>
                <w:color w:val="666666"/>
                <w:sz w:val="18"/>
                <w:szCs w:val="18"/>
              </w:rPr>
              <w:t xml:space="preserve">Total Tracks in Store</w:t>
            </w:r>
          </w:p>
        </w:tc>
        <w:tc>
          <w:tcPr>
            <w:tcW w:type="dxa" w:w="3120"/>
            <w:tcBorders>
              <w:top w:val="none" w:color="FFFFFF" w:sz="0"/>
              <w:left w:val="none" w:color="FFFFFF" w:sz="0"/>
              <w:bottom w:val="none" w:color="FFFFFF" w:sz="0"/>
              <w:right w:val="none" w:color="FFFFFF" w:sz="0"/>
            </w:tcBorders>
            <w:shd w:fill="FCE4D6" w:val="clear"/>
            <w:tcMar>
              <w:top w:type="dxa" w:w="160"/>
              <w:left w:type="dxa" w:w="200"/>
              <w:bottom w:type="dxa" w:w="160"/>
              <w:right w:type="dxa" w:w="200"/>
            </w:tcMar>
          </w:tcPr>
          <w:p>
            <w:pPr>
              <w:spacing w:after="40" w:before="0"/>
              <w:jc w:val="center"/>
            </w:pPr>
            <w:r>
              <w:rPr>
                <w:rFonts w:ascii="Arial" w:cs="Arial" w:eastAsia="Arial" w:hAnsi="Arial"/>
                <w:b/>
                <w:bCs/>
                <w:color w:val="C55A11"/>
                <w:sz w:val="40"/>
                <w:szCs w:val="40"/>
              </w:rPr>
              <w:t xml:space="preserve">1,697</w:t>
            </w:r>
          </w:p>
          <w:p>
            <w:pPr>
              <w:spacing w:after="0" w:before="0"/>
              <w:jc w:val="center"/>
            </w:pPr>
            <w:r>
              <w:rPr>
                <w:rFonts w:ascii="Arial" w:cs="Arial" w:eastAsia="Arial" w:hAnsi="Arial"/>
                <w:color w:val="666666"/>
                <w:sz w:val="18"/>
                <w:szCs w:val="18"/>
              </w:rPr>
              <w:t xml:space="preserve">Tracks Never Purchased</w:t>
            </w:r>
          </w:p>
        </w:tc>
        <w:tc>
          <w:tcPr>
            <w:tcW w:type="dxa" w:w="3120"/>
            <w:tcBorders>
              <w:top w:val="none" w:color="FFFFFF" w:sz="0"/>
              <w:left w:val="none" w:color="FFFFFF" w:sz="0"/>
              <w:bottom w:val="none" w:color="FFFFFF" w:sz="0"/>
              <w:right w:val="none" w:color="FFFFFF" w:sz="0"/>
            </w:tcBorders>
            <w:shd w:fill="E2F0E8" w:val="clear"/>
            <w:tcMar>
              <w:top w:type="dxa" w:w="160"/>
              <w:left w:type="dxa" w:w="200"/>
              <w:bottom w:type="dxa" w:w="160"/>
              <w:right w:type="dxa" w:w="200"/>
            </w:tcMar>
          </w:tcPr>
          <w:p>
            <w:pPr>
              <w:spacing w:after="40" w:before="0"/>
              <w:jc w:val="center"/>
            </w:pPr>
            <w:r>
              <w:rPr>
                <w:rFonts w:ascii="Arial" w:cs="Arial" w:eastAsia="Arial" w:hAnsi="Arial"/>
                <w:b/>
                <w:bCs/>
                <w:color w:val="1E7B34"/>
                <w:sz w:val="40"/>
                <w:szCs w:val="40"/>
              </w:rPr>
              <w:t xml:space="preserve">51.5%</w:t>
            </w:r>
          </w:p>
          <w:p>
            <w:pPr>
              <w:spacing w:after="0" w:before="0"/>
              <w:jc w:val="center"/>
            </w:pPr>
            <w:r>
              <w:rPr>
                <w:rFonts w:ascii="Arial" w:cs="Arial" w:eastAsia="Arial" w:hAnsi="Arial"/>
                <w:color w:val="666666"/>
                <w:sz w:val="18"/>
                <w:szCs w:val="18"/>
              </w:rPr>
              <w:t xml:space="preserve">Purchase Rate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5A11" w:sz="18"/>
              <w:bottom w:val="none" w:color="FFFFFF" w:sz="0"/>
              <w:right w:val="none" w:color="FFFFFF" w:sz="0"/>
            </w:tcBorders>
            <w:shd w:fill="FCE4D6" w:val="clear"/>
            <w:tcMar>
              <w:top w:type="dxa" w:w="100"/>
              <w:left w:type="dxa" w:w="200"/>
              <w:bottom w:type="dxa" w:w="100"/>
              <w:right w:type="dxa" w:w="200"/>
            </w:tcMar>
          </w:tcPr>
          <w:p>
            <w:pPr>
              <w:spacing w:after="0" w:before="0"/>
            </w:pPr>
            <w:r>
              <w:rPr>
                <w:rFonts w:ascii="Arial" w:cs="Arial" w:eastAsia="Arial" w:hAnsi="Arial"/>
                <w:i/>
                <w:iCs/>
                <w:color w:val="333333"/>
                <w:sz w:val="21"/>
                <w:szCs w:val="21"/>
              </w:rPr>
              <w:t xml:space="preserve">Warning: 1,697 tracks (48.5% of the catalog) have never been purchased. This represents significant dead inventory that needs catalog curation, promotional campaigns, or removal to optimize the store's efficiency.</w:t>
            </w:r>
          </w:p>
        </w:tc>
      </w:tr>
    </w:tbl>
    <w:p>
      <w:pPr>
        <w:spacing w:after="240" w:before="0"/>
      </w:pPr>
    </w:p>
    <w:p>
      <w:pPr>
        <w:pBdr>
          <w:bottom w:val="single" w:color="DDDDDD" w:sz="2" w:space="1"/>
        </w:pBdr>
        <w:spacing w:after="160" w:before="160"/>
      </w:pPr>
    </w:p>
    <w:p>
      <w:pPr>
        <w:pStyle w:val="Heading1"/>
        <w:pBdr>
          <w:bottom w:val="single" w:color="2E75B6" w:sz="6" w:space="4"/>
        </w:pBdr>
        <w:spacing w:after="120" w:before="360"/>
      </w:pPr>
      <w:r>
        <w:rPr>
          <w:rFonts w:ascii="Arial" w:cs="Arial" w:eastAsia="Arial" w:hAnsi="Arial"/>
          <w:b/>
          <w:bCs/>
          <w:color w:val="1F4E79"/>
          <w:sz w:val="32"/>
          <w:szCs w:val="32"/>
        </w:rPr>
        <w:t xml:space="preserve">5. Business Recommendations</w:t>
      </w:r>
    </w:p>
    <w:p>
      <w:pPr>
        <w:pStyle w:val="Heading2"/>
        <w:spacing w:after="100" w:before="280"/>
      </w:pPr>
      <w:r>
        <w:rPr>
          <w:rFonts w:ascii="Arial" w:cs="Arial" w:eastAsia="Arial" w:hAnsi="Arial"/>
          <w:b/>
          <w:bCs/>
          <w:color w:val="2E75B6"/>
          <w:sz w:val="26"/>
          <w:szCs w:val="26"/>
        </w:rPr>
        <w:t xml:space="preserve">5.1 Marketing Team</w:t>
      </w:r>
    </w:p>
    <w:p>
      <w:pPr>
        <w:pStyle w:val="ListParagraph"/>
        <w:numPr>
          <w:ilvl w:val="0"/>
          <w:numId w:val="2"/>
        </w:numPr>
        <w:spacing w:after="60" w:before="60"/>
      </w:pPr>
      <w:r>
        <w:rPr>
          <w:rFonts w:ascii="Arial" w:cs="Arial" w:eastAsia="Arial" w:hAnsi="Arial"/>
          <w:color w:val="333333"/>
          <w:sz w:val="22"/>
          <w:szCs w:val="22"/>
        </w:rPr>
        <w:t xml:space="preserve">Launch genre-targeted campaigns — Rock &amp; Metal fans drive 68% of revenue; reward them with loyalty discounts to retain this core segment.</w:t>
      </w:r>
    </w:p>
    <w:p>
      <w:pPr>
        <w:pStyle w:val="ListParagraph"/>
        <w:numPr>
          <w:ilvl w:val="0"/>
          <w:numId w:val="2"/>
        </w:numPr>
        <w:spacing w:after="60" w:before="60"/>
      </w:pPr>
      <w:r>
        <w:rPr>
          <w:rFonts w:ascii="Arial" w:cs="Arial" w:eastAsia="Arial" w:hAnsi="Arial"/>
          <w:color w:val="333333"/>
          <w:sz w:val="22"/>
          <w:szCs w:val="22"/>
        </w:rPr>
        <w:t xml:space="preserve">Create country-specific promotions for top 5 markets (USA, Canada, Brazil, France, Germany) to increase average invoice value.</w:t>
      </w:r>
    </w:p>
    <w:p>
      <w:pPr>
        <w:pStyle w:val="ListParagraph"/>
        <w:numPr>
          <w:ilvl w:val="0"/>
          <w:numId w:val="2"/>
        </w:numPr>
        <w:spacing w:after="60" w:before="60"/>
      </w:pPr>
      <w:r>
        <w:rPr>
          <w:rFonts w:ascii="Arial" w:cs="Arial" w:eastAsia="Arial" w:hAnsi="Arial"/>
          <w:color w:val="333333"/>
          <w:sz w:val="22"/>
          <w:szCs w:val="22"/>
        </w:rPr>
        <w:t xml:space="preserve">Re-engage inactive customers with 'We miss you' email campaigns featuring personalized track recommendations.</w:t>
      </w:r>
    </w:p>
    <w:p>
      <w:pPr>
        <w:pStyle w:val="ListParagraph"/>
        <w:numPr>
          <w:ilvl w:val="0"/>
          <w:numId w:val="2"/>
        </w:numPr>
        <w:spacing w:after="60" w:before="60"/>
      </w:pPr>
      <w:r>
        <w:rPr>
          <w:rFonts w:ascii="Arial" w:cs="Arial" w:eastAsia="Arial" w:hAnsi="Arial"/>
          <w:color w:val="333333"/>
          <w:sz w:val="22"/>
          <w:szCs w:val="22"/>
        </w:rPr>
        <w:t xml:space="preserve">Promote underperforming genres like Classical, Jazz, and World Music through curated playlists to diversify revenue.</w:t>
      </w:r>
    </w:p>
    <w:p>
      <w:pPr>
        <w:spacing w:after="120" w:before="0"/>
      </w:pPr>
    </w:p>
    <w:p>
      <w:pPr>
        <w:pStyle w:val="Heading2"/>
        <w:spacing w:after="100" w:before="280"/>
      </w:pPr>
      <w:r>
        <w:rPr>
          <w:rFonts w:ascii="Arial" w:cs="Arial" w:eastAsia="Arial" w:hAnsi="Arial"/>
          <w:b/>
          <w:bCs/>
          <w:color w:val="2E75B6"/>
          <w:sz w:val="26"/>
          <w:szCs w:val="26"/>
        </w:rPr>
        <w:t xml:space="preserve">5.2 Product Team</w:t>
      </w:r>
    </w:p>
    <w:p>
      <w:pPr>
        <w:pStyle w:val="ListParagraph"/>
        <w:numPr>
          <w:ilvl w:val="0"/>
          <w:numId w:val="2"/>
        </w:numPr>
        <w:spacing w:after="60" w:before="60"/>
      </w:pPr>
      <w:r>
        <w:rPr>
          <w:rFonts w:ascii="Arial" w:cs="Arial" w:eastAsia="Arial" w:hAnsi="Arial"/>
          <w:color w:val="333333"/>
          <w:sz w:val="22"/>
          <w:szCs w:val="22"/>
        </w:rPr>
        <w:t xml:space="preserve">Remove or archive the 1,697 unpurchased tracks to clean up catalog and improve search/discovery experience.</w:t>
      </w:r>
    </w:p>
    <w:p>
      <w:pPr>
        <w:pStyle w:val="ListParagraph"/>
        <w:numPr>
          <w:ilvl w:val="0"/>
          <w:numId w:val="2"/>
        </w:numPr>
        <w:spacing w:after="60" w:before="60"/>
      </w:pPr>
      <w:r>
        <w:rPr>
          <w:rFonts w:ascii="Arial" w:cs="Arial" w:eastAsia="Arial" w:hAnsi="Arial"/>
          <w:color w:val="333333"/>
          <w:sz w:val="22"/>
          <w:szCs w:val="22"/>
        </w:rPr>
        <w:t xml:space="preserve">Invest in AAC format migration — MPEG dominates but modern AAC offers better quality; transitioning may attract new users.</w:t>
      </w:r>
    </w:p>
    <w:p>
      <w:pPr>
        <w:pStyle w:val="ListParagraph"/>
        <w:numPr>
          <w:ilvl w:val="0"/>
          <w:numId w:val="2"/>
        </w:numPr>
        <w:spacing w:after="60" w:before="60"/>
      </w:pPr>
      <w:r>
        <w:rPr>
          <w:rFonts w:ascii="Arial" w:cs="Arial" w:eastAsia="Arial" w:hAnsi="Arial"/>
          <w:color w:val="333333"/>
          <w:sz w:val="22"/>
          <w:szCs w:val="22"/>
        </w:rPr>
        <w:t xml:space="preserve">Develop playlist-based recommendation engine based on genre co-purchasing patterns to increase average order value.</w:t>
      </w:r>
    </w:p>
    <w:p>
      <w:pPr>
        <w:pStyle w:val="ListParagraph"/>
        <w:numPr>
          <w:ilvl w:val="0"/>
          <w:numId w:val="2"/>
        </w:numPr>
        <w:spacing w:after="60" w:before="60"/>
      </w:pPr>
      <w:r>
        <w:rPr>
          <w:rFonts w:ascii="Arial" w:cs="Arial" w:eastAsia="Arial" w:hAnsi="Arial"/>
          <w:color w:val="333333"/>
          <w:sz w:val="22"/>
          <w:szCs w:val="22"/>
        </w:rPr>
        <w:t xml:space="preserve">Introduce bundle pricing for albums — customers buying individual tracks could be upsold to full albums at a small premium.</w:t>
      </w:r>
    </w:p>
    <w:p>
      <w:pPr>
        <w:spacing w:after="120" w:before="0"/>
      </w:pPr>
    </w:p>
    <w:p>
      <w:pPr>
        <w:pStyle w:val="Heading2"/>
        <w:spacing w:after="100" w:before="280"/>
      </w:pPr>
      <w:r>
        <w:rPr>
          <w:rFonts w:ascii="Arial" w:cs="Arial" w:eastAsia="Arial" w:hAnsi="Arial"/>
          <w:b/>
          <w:bCs/>
          <w:color w:val="2E75B6"/>
          <w:sz w:val="26"/>
          <w:szCs w:val="26"/>
        </w:rPr>
        <w:t xml:space="preserve">5.3 Operations Team</w:t>
      </w:r>
    </w:p>
    <w:p>
      <w:pPr>
        <w:pStyle w:val="ListParagraph"/>
        <w:numPr>
          <w:ilvl w:val="0"/>
          <w:numId w:val="2"/>
        </w:numPr>
        <w:spacing w:after="60" w:before="60"/>
      </w:pPr>
      <w:r>
        <w:rPr>
          <w:rFonts w:ascii="Arial" w:cs="Arial" w:eastAsia="Arial" w:hAnsi="Arial"/>
          <w:color w:val="333333"/>
          <w:sz w:val="22"/>
          <w:szCs w:val="22"/>
        </w:rPr>
        <w:t xml:space="preserve">Standardize Jane Peacock's customer engagement techniques as best practices for the team — she achieves the highest avg invoice value ($8.17).</w:t>
      </w:r>
    </w:p>
    <w:p>
      <w:pPr>
        <w:pStyle w:val="ListParagraph"/>
        <w:numPr>
          <w:ilvl w:val="0"/>
          <w:numId w:val="2"/>
        </w:numPr>
        <w:spacing w:after="60" w:before="60"/>
      </w:pPr>
      <w:r>
        <w:rPr>
          <w:rFonts w:ascii="Arial" w:cs="Arial" w:eastAsia="Arial" w:hAnsi="Arial"/>
          <w:color w:val="333333"/>
          <w:sz w:val="22"/>
          <w:szCs w:val="22"/>
        </w:rPr>
        <w:t xml:space="preserve">Review Margaret Park's portfolio (214 invoices) to identify if workload rebalancing could improve her revenue per invoice.</w:t>
      </w:r>
    </w:p>
    <w:p>
      <w:pPr>
        <w:pStyle w:val="ListParagraph"/>
        <w:numPr>
          <w:ilvl w:val="0"/>
          <w:numId w:val="2"/>
        </w:numPr>
        <w:spacing w:after="60" w:before="60"/>
      </w:pPr>
      <w:r>
        <w:rPr>
          <w:rFonts w:ascii="Arial" w:cs="Arial" w:eastAsia="Arial" w:hAnsi="Arial"/>
          <w:color w:val="333333"/>
          <w:sz w:val="22"/>
          <w:szCs w:val="22"/>
        </w:rPr>
        <w:t xml:space="preserve">Explore geographic expansion into underserved but high-potential markets — India (1 customer, $111.87 avg LTV) shows strong potential.</w:t>
      </w:r>
    </w:p>
    <w:p>
      <w:pPr>
        <w:spacing w:after="120" w:before="0"/>
      </w:pPr>
    </w:p>
    <w:p>
      <w:pPr>
        <w:pStyle w:val="Heading2"/>
        <w:spacing w:after="100" w:before="280"/>
      </w:pPr>
      <w:r>
        <w:rPr>
          <w:rFonts w:ascii="Arial" w:cs="Arial" w:eastAsia="Arial" w:hAnsi="Arial"/>
          <w:b/>
          <w:bCs/>
          <w:color w:val="2E75B6"/>
          <w:sz w:val="26"/>
          <w:szCs w:val="26"/>
        </w:rPr>
        <w:t xml:space="preserve">5.4 Strategic Priorities</w:t>
      </w:r>
    </w:p>
    <w:p>
      <w:pPr>
        <w:pStyle w:val="ListParagraph"/>
        <w:numPr>
          <w:ilvl w:val="0"/>
          <w:numId w:val="2"/>
        </w:numPr>
        <w:spacing w:after="60" w:before="60"/>
      </w:pPr>
      <w:r>
        <w:rPr>
          <w:rFonts w:ascii="Arial" w:cs="Arial" w:eastAsia="Arial" w:hAnsi="Arial"/>
          <w:color w:val="333333"/>
          <w:sz w:val="22"/>
          <w:szCs w:val="22"/>
        </w:rPr>
        <w:t xml:space="preserve">Top Priority: Catalog cleanup — 48.5% unpurchased tracks signal a product-market fit issue in half the catalog.</w:t>
      </w:r>
    </w:p>
    <w:p>
      <w:pPr>
        <w:pStyle w:val="ListParagraph"/>
        <w:numPr>
          <w:ilvl w:val="0"/>
          <w:numId w:val="2"/>
        </w:numPr>
        <w:spacing w:after="60" w:before="60"/>
      </w:pPr>
      <w:r>
        <w:rPr>
          <w:rFonts w:ascii="Arial" w:cs="Arial" w:eastAsia="Arial" w:hAnsi="Arial"/>
          <w:color w:val="333333"/>
          <w:sz w:val="22"/>
          <w:szCs w:val="22"/>
        </w:rPr>
        <w:t xml:space="preserve">Quick Win: Upsell repeat customers (100% base) with premium memberships or subscription bundles.</w:t>
      </w:r>
    </w:p>
    <w:p>
      <w:pPr>
        <w:pStyle w:val="ListParagraph"/>
        <w:numPr>
          <w:ilvl w:val="0"/>
          <w:numId w:val="2"/>
        </w:numPr>
        <w:spacing w:after="60" w:before="60"/>
      </w:pPr>
      <w:r>
        <w:rPr>
          <w:rFonts w:ascii="Arial" w:cs="Arial" w:eastAsia="Arial" w:hAnsi="Arial"/>
          <w:color w:val="333333"/>
          <w:sz w:val="22"/>
          <w:szCs w:val="22"/>
        </w:rPr>
        <w:t xml:space="preserve">Long-term: Geographic diversification beyond USA/Canada which currently capture 33.5% of revenue.</w:t>
      </w:r>
    </w:p>
    <w:p>
      <w:pPr>
        <w:spacing w:after="240" w:before="0"/>
      </w:pPr>
    </w:p>
    <w:p>
      <w:pPr>
        <w:pBdr>
          <w:bottom w:val="single" w:color="DDDDDD" w:sz="2" w:space="1"/>
        </w:pBdr>
        <w:spacing w:after="160" w:before="160"/>
      </w:pPr>
    </w:p>
    <w:p>
      <w:pPr>
        <w:pStyle w:val="Heading1"/>
        <w:pBdr>
          <w:bottom w:val="single" w:color="2E75B6" w:sz="6" w:space="4"/>
        </w:pBdr>
        <w:spacing w:after="120" w:before="360"/>
      </w:pPr>
      <w:r>
        <w:rPr>
          <w:rFonts w:ascii="Arial" w:cs="Arial" w:eastAsia="Arial" w:hAnsi="Arial"/>
          <w:b/>
          <w:bCs/>
          <w:color w:val="1F4E79"/>
          <w:sz w:val="32"/>
          <w:szCs w:val="32"/>
        </w:rPr>
        <w:t xml:space="preserve">6. Conclusion</w:t>
      </w:r>
    </w:p>
    <w:p>
      <w:pPr>
        <w:spacing w:after="100" w:before="80"/>
        <w:jc w:val="both"/>
      </w:pPr>
      <w:r>
        <w:rPr>
          <w:rFonts w:ascii="Arial" w:cs="Arial" w:eastAsia="Arial" w:hAnsi="Arial"/>
          <w:b w:val="false"/>
          <w:bCs w:val="false"/>
          <w:i w:val="false"/>
          <w:iCs w:val="false"/>
          <w:color w:val="333333"/>
          <w:sz w:val="22"/>
          <w:szCs w:val="22"/>
        </w:rPr>
        <w:t xml:space="preserve">The iTunes Music Store demonstrates strong customer loyalty with a 100% repeat purchase rate and an average customer lifetime value of $79.82. Revenue is heavily concentrated in Rock-based genres and a small set of Western markets, presenting both a strength (reliable core base) and an opportunity (diversification potential).</w:t>
      </w:r>
    </w:p>
    <w:p>
      <w:pPr>
        <w:spacing w:after="120" w:before="0"/>
      </w:pPr>
    </w:p>
    <w:p>
      <w:pPr>
        <w:spacing w:after="100" w:before="80"/>
        <w:jc w:val="both"/>
      </w:pPr>
      <w:r>
        <w:rPr>
          <w:rFonts w:ascii="Arial" w:cs="Arial" w:eastAsia="Arial" w:hAnsi="Arial"/>
          <w:b w:val="false"/>
          <w:bCs w:val="false"/>
          <w:i w:val="false"/>
          <w:iCs w:val="false"/>
          <w:color w:val="333333"/>
          <w:sz w:val="22"/>
          <w:szCs w:val="22"/>
        </w:rPr>
        <w:t xml:space="preserve">The most critical finding is that nearly half the track catalog has never been purchased, representing a significant opportunity for catalog optimization. Combined with targeted marketing campaigns in high-potential geographic markets and genre diversification, the store is well-positioned for substantial revenue growth in the next fiscal year.</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6E4F0" w:val="clear"/>
            <w:tcMar>
              <w:top w:type="dxa" w:w="100"/>
              <w:left w:type="dxa" w:w="200"/>
              <w:bottom w:type="dxa" w:w="100"/>
              <w:right w:type="dxa" w:w="200"/>
            </w:tcMar>
          </w:tcPr>
          <w:p>
            <w:pPr>
              <w:spacing w:after="0" w:before="0"/>
            </w:pPr>
            <w:r>
              <w:rPr>
                <w:rFonts w:ascii="Arial" w:cs="Arial" w:eastAsia="Arial" w:hAnsi="Arial"/>
                <w:i/>
                <w:iCs/>
                <w:color w:val="333333"/>
                <w:sz w:val="21"/>
                <w:szCs w:val="21"/>
              </w:rPr>
              <w:t xml:space="preserve">Overall Assessment: The iTunes store has a strong, loyal customer base and clear revenue drivers. Addressing catalog waste and expanding geographic reach are the two highest-leverage opportunities for near-term growth. Immediate action on the 1,697 unpurchased tracks is strongly recommended.</w:t>
            </w:r>
          </w:p>
        </w:tc>
      </w:tr>
    </w:tbl>
    <w:p>
      <w:pPr>
        <w:spacing w:after="240" w:before="0"/>
      </w:pPr>
    </w:p>
    <w:p>
      <w:pPr>
        <w:pBdr>
          <w:top w:val="single" w:color="CCCCCC" w:sz="4" w:space="8"/>
        </w:pBdr>
        <w:spacing w:after="0" w:before="200"/>
        <w:jc w:val="center"/>
      </w:pPr>
      <w:r>
        <w:rPr>
          <w:rFonts w:ascii="Arial" w:cs="Arial" w:eastAsia="Arial" w:hAnsi="Arial"/>
          <w:i/>
          <w:iCs/>
          <w:color w:val="999999"/>
          <w:sz w:val="20"/>
          <w:szCs w:val="20"/>
        </w:rPr>
        <w:t xml:space="preserve">— End of Report —</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Apple iTunes Music Store Analysis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2026-05-26T04:56:10.724Z</dcterms:created>
  <dcterms:modified xsi:type="dcterms:W3CDTF">2026-05-26T04:56:10.725Z</dcterms:modified>
</cp:coreProperties>
</file>

<file path=docProps/custom.xml><?xml version="1.0" encoding="utf-8"?>
<Properties xmlns="http://schemas.openxmlformats.org/officeDocument/2006/custom-properties" xmlns:vt="http://schemas.openxmlformats.org/officeDocument/2006/docPropsVTypes"/>
</file>