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Care Access Navigator</w:t>
      </w:r>
    </w:p>
    <w:p>
      <w:pPr>
        <w:spacing w:after="100"/>
      </w:pPr>
      <w:r>
        <w:rPr>
          <w:b/>
          <w:bCs/>
          <w:color w:val="1F4E5F"/>
          <w:sz w:val="26"/>
          <w:szCs w:val="26"/>
        </w:rPr>
        <w:t xml:space="preserve">Keycloak IAM Lab + Microsoft Entra ID Federation — Build Log</w:t>
      </w:r>
    </w:p>
    <w:p>
      <w:pPr>
        <w:spacing w:after="120"/>
      </w:pPr>
      <w:r>
        <w:rPr>
          <w:b w:val="false"/>
          <w:bCs w:val="false"/>
          <w:i/>
          <w:iCs/>
          <w:color w:val="666666"/>
          <w:sz w:val="21"/>
          <w:szCs w:val="21"/>
        </w:rPr>
        <w:t xml:space="preserve">IAM + GRC Healthcare Cybersecurity Capstone — Project Design Documentation v1.1, Week 2/3 build record</w:t>
      </w:r>
    </w:p>
    <w:p>
      <w:pPr>
        <w:pBdr>
          <w:bottom w:val="single" w:color="CCCCCC" w:sz="6"/>
        </w:pBdr>
        <w:spacing w:after="200"/>
      </w:pPr>
    </w:p>
    <w:p>
      <w:pPr>
        <w:spacing w:after="120"/>
      </w:pPr>
      <w:r>
        <w:rPr>
          <w:b w:val="false"/>
          <w:bCs w:val="false"/>
          <w:i w:val="false"/>
          <w:iCs w:val="false"/>
          <w:color w:val="222222"/>
          <w:sz w:val="21"/>
          <w:szCs w:val="21"/>
        </w:rPr>
        <w:t xml:space="preserve">This document walks through, in the order it was actually done, everything built in this session: standing up Keycloak and Postgres in Docker, building out the Care Access Navigator realm (roles, groups, clients, users, logging), registering the project in Microsoft Entra ID, configuring Keycloak to federate to Entra ID, and the troubleshooting that got the federated login working end to end. It's written as a reference you can revisit to understand why each piece exists, not just what was clicked.</w:t>
      </w:r>
    </w:p>
    <w:p>
      <w:pPr>
        <w:pStyle w:val="Heading1"/>
        <w:spacing w:after="150" w:before="300"/>
      </w:pPr>
      <w:r>
        <w:t xml:space="preserve">1. Recovering Keycloak access</w:t>
      </w:r>
    </w:p>
    <w:p>
      <w:pPr>
        <w:spacing w:after="120"/>
      </w:pPr>
      <w:r>
        <w:rPr>
          <w:b w:val="false"/>
          <w:bCs w:val="false"/>
          <w:i w:val="false"/>
          <w:iCs w:val="false"/>
          <w:color w:val="222222"/>
          <w:sz w:val="21"/>
          <w:szCs w:val="21"/>
        </w:rPr>
        <w:t xml:space="preserve">The lab started from an existing Keycloak Docker container whose admin credentials had been lost. Rather than try to recover the old container's password, the decision was made to start fresh with a new setup that includes a persistent database — so this kind of lockout can't happen again without losing all project data.</w:t>
      </w:r>
    </w:p>
    <w:p>
      <w:pPr>
        <w:pStyle w:val="Heading2"/>
        <w:spacing w:after="100" w:before="250"/>
      </w:pPr>
      <w:r>
        <w:t xml:space="preserve">1.1 Verifying Docker was installed and working</w:t>
      </w:r>
    </w:p>
    <w:p>
      <w:pPr>
        <w:spacing w:after="120"/>
      </w:pPr>
      <w:r>
        <w:rPr>
          <w:b w:val="false"/>
          <w:bCs w:val="false"/>
          <w:i w:val="false"/>
          <w:iCs w:val="false"/>
          <w:color w:val="222222"/>
          <w:sz w:val="21"/>
          <w:szCs w:val="21"/>
        </w:rPr>
        <w:t xml:space="preserve">Confirmed Docker Desktop was installed and the daemon was running using:</w:t>
      </w:r>
    </w:p>
    <w:p>
      <w:pPr>
        <w:pBdr>
          <w:top w:val="single" w:color="CCCCCC" w:sz="2"/>
          <w:bottom w:val="single" w:color="CCCCCC" w:sz="2"/>
          <w:left w:val="single" w:color="CCCCCC" w:sz="2"/>
          <w:right w:val="single" w:color="CCCCCC" w:sz="2"/>
        </w:pBdr>
        <w:shd w:fill="F3F3F3" w:color="auto" w:val="clear"/>
        <w:spacing w:after="120" w:before="60"/>
      </w:pPr>
      <w:r>
        <w:rPr>
          <w:rFonts w:ascii="Consolas" w:cs="Consolas" w:eastAsia="Consolas" w:hAnsi="Consolas"/>
          <w:color w:val="1a1a1a"/>
          <w:sz w:val="19"/>
          <w:szCs w:val="19"/>
        </w:rPr>
        <w:t xml:space="preserve">docker --version</w:t>
      </w:r>
      <w:r>
        <w:br/>
        <w:t xml:space="preserve"/>
      </w:r>
      <w:r>
        <w:rPr>
          <w:rFonts w:ascii="Consolas" w:cs="Consolas" w:eastAsia="Consolas" w:hAnsi="Consolas"/>
          <w:color w:val="1a1a1a"/>
          <w:sz w:val="19"/>
          <w:szCs w:val="19"/>
        </w:rPr>
        <w:t xml:space="preserve">docker ps</w:t>
      </w:r>
    </w:p>
    <w:p>
      <w:pPr>
        <w:pStyle w:val="Heading2"/>
        <w:spacing w:after="100" w:before="250"/>
      </w:pPr>
      <w:r>
        <w:t xml:space="preserve">1.2 Clearing out old containers</w:t>
      </w:r>
    </w:p>
    <w:p>
      <w:pPr>
        <w:spacing w:after="120"/>
      </w:pPr>
      <w:r>
        <w:rPr>
          <w:b w:val="false"/>
          <w:bCs w:val="false"/>
          <w:i w:val="false"/>
          <w:iCs w:val="false"/>
          <w:color w:val="222222"/>
          <w:sz w:val="21"/>
          <w:szCs w:val="21"/>
        </w:rPr>
        <w:t xml:space="preserve">Located and removed the old, broken Keycloak container(s) with docker ps -a (to see all containers, including stopped ones) followed by docker rm &lt;container-id&gt;, leaving a completely clean slate before building the new setup.</w:t>
      </w:r>
    </w:p>
    <w:p>
      <w:pPr>
        <w:pStyle w:val="Heading1"/>
        <w:spacing w:after="150" w:before="300"/>
      </w:pPr>
      <w:r>
        <w:t xml:space="preserve">2. Building the Docker Compose environment</w:t>
      </w:r>
    </w:p>
    <w:p>
      <w:pPr>
        <w:spacing w:after="120"/>
      </w:pPr>
      <w:r>
        <w:rPr>
          <w:b w:val="false"/>
          <w:bCs w:val="false"/>
          <w:i w:val="false"/>
          <w:iCs w:val="false"/>
          <w:color w:val="222222"/>
          <w:sz w:val="21"/>
          <w:szCs w:val="21"/>
        </w:rPr>
        <w:t xml:space="preserve">A Docker Compose file lets two related containers — Keycloak and its Postgres database — be defined, networked, and started together from one file, instead of typing long docker run commands by hand.</w:t>
      </w:r>
    </w:p>
    <w:p>
      <w:pPr>
        <w:pStyle w:val="Heading2"/>
        <w:spacing w:after="100" w:before="250"/>
      </w:pPr>
      <w:r>
        <w:t xml:space="preserve">2.1 Project folder</w:t>
      </w:r>
    </w:p>
    <w:p>
      <w:pPr>
        <w:spacing w:after="120"/>
      </w:pPr>
      <w:r>
        <w:rPr>
          <w:b w:val="false"/>
          <w:bCs w:val="false"/>
          <w:i w:val="false"/>
          <w:iCs w:val="false"/>
          <w:color w:val="222222"/>
          <w:sz w:val="21"/>
          <w:szCs w:val="21"/>
        </w:rPr>
        <w:t xml:space="preserve">Created a dedicated folder to hold the whole lab's configuration:</w:t>
      </w:r>
    </w:p>
    <w:p>
      <w:pPr>
        <w:pBdr>
          <w:top w:val="single" w:color="CCCCCC" w:sz="2"/>
          <w:bottom w:val="single" w:color="CCCCCC" w:sz="2"/>
          <w:left w:val="single" w:color="CCCCCC" w:sz="2"/>
          <w:right w:val="single" w:color="CCCCCC" w:sz="2"/>
        </w:pBdr>
        <w:shd w:fill="F3F3F3" w:color="auto" w:val="clear"/>
        <w:spacing w:after="120" w:before="60"/>
      </w:pPr>
      <w:r>
        <w:rPr>
          <w:rFonts w:ascii="Consolas" w:cs="Consolas" w:eastAsia="Consolas" w:hAnsi="Consolas"/>
          <w:color w:val="1a1a1a"/>
          <w:sz w:val="19"/>
          <w:szCs w:val="19"/>
        </w:rPr>
        <w:t xml:space="preserve">mkdir care-access-navigator-iam-lab</w:t>
      </w:r>
      <w:r>
        <w:br/>
        <w:t xml:space="preserve"/>
      </w:r>
      <w:r>
        <w:rPr>
          <w:rFonts w:ascii="Consolas" w:cs="Consolas" w:eastAsia="Consolas" w:hAnsi="Consolas"/>
          <w:color w:val="1a1a1a"/>
          <w:sz w:val="19"/>
          <w:szCs w:val="19"/>
        </w:rPr>
        <w:t xml:space="preserve">cd care-access-navigator-iam-lab</w:t>
      </w:r>
    </w:p>
    <w:p>
      <w:pPr>
        <w:pStyle w:val="Heading2"/>
        <w:spacing w:after="100" w:before="250"/>
      </w:pPr>
      <w:r>
        <w:t xml:space="preserve">2.2 .env file — credentials kept out of the compose file</w:t>
      </w:r>
    </w:p>
    <w:p>
      <w:pPr>
        <w:spacing w:after="120"/>
      </w:pPr>
      <w:r>
        <w:rPr>
          <w:b w:val="false"/>
          <w:bCs w:val="false"/>
          <w:i w:val="false"/>
          <w:iCs w:val="false"/>
          <w:color w:val="222222"/>
          <w:sz w:val="21"/>
          <w:szCs w:val="21"/>
        </w:rPr>
        <w:t xml:space="preserve">Created a .env file holding the database password and the Keycloak admin username/password, so secrets aren't hard-coded into docker-compose.yml:</w:t>
      </w:r>
    </w:p>
    <w:p>
      <w:pPr>
        <w:pBdr>
          <w:top w:val="single" w:color="CCCCCC" w:sz="2"/>
          <w:bottom w:val="single" w:color="CCCCCC" w:sz="2"/>
          <w:left w:val="single" w:color="CCCCCC" w:sz="2"/>
          <w:right w:val="single" w:color="CCCCCC" w:sz="2"/>
        </w:pBdr>
        <w:shd w:fill="F3F3F3" w:color="auto" w:val="clear"/>
        <w:spacing w:after="120" w:before="60"/>
      </w:pPr>
      <w:r>
        <w:rPr>
          <w:rFonts w:ascii="Consolas" w:cs="Consolas" w:eastAsia="Consolas" w:hAnsi="Consolas"/>
          <w:color w:val="1a1a1a"/>
          <w:sz w:val="19"/>
          <w:szCs w:val="19"/>
        </w:rPr>
        <w:t xml:space="preserve">POSTGRES_PASSWORD=&lt;chosen password&gt;</w:t>
      </w:r>
      <w:r>
        <w:br/>
        <w:t xml:space="preserve"/>
      </w:r>
      <w:r>
        <w:rPr>
          <w:rFonts w:ascii="Consolas" w:cs="Consolas" w:eastAsia="Consolas" w:hAnsi="Consolas"/>
          <w:color w:val="1a1a1a"/>
          <w:sz w:val="19"/>
          <w:szCs w:val="19"/>
        </w:rPr>
        <w:t xml:space="preserve">KC_ADMIN_USERNAME=admin</w:t>
      </w:r>
      <w:r>
        <w:br/>
        <w:t xml:space="preserve"/>
      </w:r>
      <w:r>
        <w:rPr>
          <w:rFonts w:ascii="Consolas" w:cs="Consolas" w:eastAsia="Consolas" w:hAnsi="Consolas"/>
          <w:color w:val="1a1a1a"/>
          <w:sz w:val="19"/>
          <w:szCs w:val="19"/>
        </w:rPr>
        <w:t xml:space="preserve">KC_ADMIN_PASSWORD=&lt;chosen password&gt;</w:t>
      </w:r>
    </w:p>
    <w:p>
      <w:pPr>
        <w:pStyle w:val="Heading2"/>
        <w:spacing w:after="100" w:before="250"/>
      </w:pPr>
      <w:r>
        <w:t xml:space="preserve">2.3 docker-compose.yml — two services, one persistent volume</w:t>
      </w:r>
    </w:p>
    <w:p>
      <w:pPr>
        <w:spacing w:after="120"/>
      </w:pPr>
      <w:r>
        <w:rPr>
          <w:b w:val="false"/>
          <w:bCs w:val="false"/>
          <w:i w:val="false"/>
          <w:iCs w:val="false"/>
          <w:color w:val="222222"/>
          <w:sz w:val="21"/>
          <w:szCs w:val="21"/>
        </w:rPr>
        <w:t xml:space="preserve">Defined two services:</w:t>
      </w:r>
    </w:p>
    <w:p>
      <w:pPr>
        <w:pStyle w:val="ListParagraph"/>
        <w:numPr>
          <w:ilvl w:val="0"/>
          <w:numId w:val="1"/>
        </w:numPr>
        <w:spacing w:after="60"/>
      </w:pPr>
      <w:r>
        <w:t xml:space="preserve">postgres — image postgres:16, with a named volume (postgres_data) mounted to /var/lib/postgresql/data so the database survives container restarts and rebuilds.</w:t>
      </w:r>
    </w:p>
    <w:p>
      <w:pPr>
        <w:pStyle w:val="ListParagraph"/>
        <w:numPr>
          <w:ilvl w:val="0"/>
          <w:numId w:val="1"/>
        </w:numPr>
        <w:spacing w:after="60"/>
      </w:pPr>
      <w:r>
        <w:t xml:space="preserve">keycloak — image quay.io/keycloak/keycloak:26.0, run in start-dev mode, configured to use the Postgres service as its database (KC_DB, KC_DB_URL, KC_DB_USERNAME, KC_DB_PASSWORD), with the admin account created from KC_BOOTSTRAP_ADMIN_USERNAME / KC_BOOTSTRAP_ADMIN_PASSWORD, and port 8080 published to the host.</w:t>
      </w:r>
    </w:p>
    <w:p>
      <w:pPr>
        <w:spacing w:after="120"/>
      </w:pPr>
      <w:r>
        <w:rPr>
          <w:b w:val="false"/>
          <w:bCs w:val="false"/>
          <w:i w:val="false"/>
          <w:iCs w:val="false"/>
          <w:color w:val="222222"/>
          <w:sz w:val="21"/>
          <w:szCs w:val="21"/>
        </w:rPr>
        <w:t xml:space="preserve">A top-level volumes: block declares postgres_data so Compose knows to actually create and manage that persistent storage.</w:t>
      </w:r>
    </w:p>
    <w:p>
      <w:pPr>
        <w:pStyle w:val="Heading2"/>
        <w:spacing w:after="100" w:before="250"/>
      </w:pPr>
      <w:r>
        <w:t xml:space="preserve">2.4 Starting it up</w:t>
      </w:r>
    </w:p>
    <w:p>
      <w:pPr>
        <w:pBdr>
          <w:top w:val="single" w:color="CCCCCC" w:sz="2"/>
          <w:bottom w:val="single" w:color="CCCCCC" w:sz="2"/>
          <w:left w:val="single" w:color="CCCCCC" w:sz="2"/>
          <w:right w:val="single" w:color="CCCCCC" w:sz="2"/>
        </w:pBdr>
        <w:shd w:fill="F3F3F3" w:color="auto" w:val="clear"/>
        <w:spacing w:after="120" w:before="60"/>
      </w:pPr>
      <w:r>
        <w:rPr>
          <w:rFonts w:ascii="Consolas" w:cs="Consolas" w:eastAsia="Consolas" w:hAnsi="Consolas"/>
          <w:color w:val="1a1a1a"/>
          <w:sz w:val="19"/>
          <w:szCs w:val="19"/>
        </w:rPr>
        <w:t xml:space="preserve">docker compose up -d</w:t>
      </w:r>
    </w:p>
    <w:p>
      <w:pPr>
        <w:spacing w:after="120"/>
      </w:pPr>
      <w:r>
        <w:rPr>
          <w:b w:val="false"/>
          <w:bCs w:val="false"/>
          <w:i w:val="false"/>
          <w:iCs w:val="false"/>
          <w:color w:val="222222"/>
          <w:sz w:val="21"/>
          <w:szCs w:val="21"/>
        </w:rPr>
        <w:t xml:space="preserve">This pulled the Postgres image, created the volume and network, and started both containers in the right order (Postgres first, then Keycloak, because of depends_on). Verified both were healthy with docker ps, confirming STATUS showed "Up" for care-access-postgres and care-access-keycloak.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FF4E5" w:color="auto" w:val="clear"/>
            <w:tcMar>
              <w:top w:type="dxa" w:w="150"/>
              <w:left w:type="dxa" w:w="200"/>
              <w:bottom w:type="dxa" w:w="150"/>
              <w:right w:type="dxa" w:w="200"/>
            </w:tcMar>
          </w:tcPr>
          <w:p>
            <w:pPr>
              <w:spacing w:after="60"/>
            </w:pPr>
            <w:r>
              <w:rPr>
                <w:b/>
                <w:bCs/>
                <w:sz w:val="21"/>
                <w:szCs w:val="21"/>
              </w:rPr>
              <w:t xml:space="preserve">Troubleshooting note</w:t>
            </w:r>
          </w:p>
          <w:p>
            <w:r>
              <w:rPr>
                <w:sz w:val="20"/>
                <w:szCs w:val="20"/>
              </w:rPr>
              <w:t xml:space="preserve">The first attempt at docker compose up -d failed with a YAML parsing error. The cause was a stray line break that had split the word "services:" into two lines ("s" / "ervices:") while editing the file in the terminal text editor. Fixing the line break resolved it. A second, separate issue was a duplicated volumes: block at the end of the file, which also had to be removed for the file to parse correctly.</w:t>
            </w:r>
          </w:p>
        </w:tc>
      </w:tr>
    </w:tbl>
    <w:p>
      <w:pPr>
        <w:spacing w:after="120"/>
      </w:pPr>
      <w:r>
        <w:rPr>
          <w:b w:val="false"/>
          <w:bCs w:val="false"/>
          <w:i w:val="false"/>
          <w:iCs w:val="false"/>
          <w:color w:val="222222"/>
          <w:sz w:val="21"/>
          <w:szCs w:val="21"/>
        </w:rPr>
        <w:t xml:space="preserve">Logged into the Keycloak Admin Console at http://localhost:8080 using the KC_ADMIN_USERNAME / KC_ADMIN_PASSWORD values from the .env file.</w:t>
      </w:r>
    </w:p>
    <w:p>
      <w:pPr>
        <w:pStyle w:val="Heading1"/>
        <w:spacing w:after="150" w:before="300"/>
      </w:pPr>
      <w:r>
        <w:t xml:space="preserve">3. Building the Care Access Navigator realm</w:t>
      </w:r>
    </w:p>
    <w:p>
      <w:pPr>
        <w:spacing w:after="120"/>
      </w:pPr>
      <w:r>
        <w:rPr>
          <w:b w:val="false"/>
          <w:bCs w:val="false"/>
          <w:i w:val="false"/>
          <w:iCs w:val="false"/>
          <w:color w:val="222222"/>
          <w:sz w:val="21"/>
          <w:szCs w:val="21"/>
        </w:rPr>
        <w:t xml:space="preserve">A "realm" in Keycloak is a fully isolated space with its own users, roles, and login settings, separate from the master realm Keycloak itself uses for administration. All project identities live inside this realm rather than mixed in with Keycloak's own admin accounts.</w:t>
      </w:r>
    </w:p>
    <w:p>
      <w:pPr>
        <w:pStyle w:val="Heading2"/>
        <w:spacing w:after="100" w:before="250"/>
      </w:pPr>
      <w:r>
        <w:t xml:space="preserve">3.1 Realm</w:t>
      </w:r>
    </w:p>
    <w:p>
      <w:pPr>
        <w:spacing w:after="120"/>
      </w:pPr>
      <w:r>
        <w:rPr>
          <w:b w:val="false"/>
          <w:bCs w:val="false"/>
          <w:i w:val="false"/>
          <w:iCs w:val="false"/>
          <w:color w:val="222222"/>
          <w:sz w:val="21"/>
          <w:szCs w:val="21"/>
        </w:rPr>
        <w:t xml:space="preserve">Created realm: care-access-navigator (top-left realm dropdown → Create Realm).</w:t>
      </w:r>
    </w:p>
    <w:p>
      <w:pPr>
        <w:pStyle w:val="Heading2"/>
        <w:spacing w:after="100" w:before="250"/>
      </w:pPr>
      <w:r>
        <w:t xml:space="preserve">3.2 Roles</w:t>
      </w:r>
    </w:p>
    <w:p>
      <w:pPr>
        <w:spacing w:after="120"/>
      </w:pPr>
      <w:r>
        <w:rPr>
          <w:b w:val="false"/>
          <w:bCs w:val="false"/>
          <w:i w:val="false"/>
          <w:iCs w:val="false"/>
          <w:color w:val="222222"/>
          <w:sz w:val="21"/>
          <w:szCs w:val="21"/>
        </w:rPr>
        <w:t xml:space="preserve">Created seven realm roles, taken directly from the RBAC model in the project's design documentation (Section 5):</w:t>
      </w:r>
    </w:p>
    <w:p>
      <w:pPr>
        <w:pStyle w:val="ListParagraph"/>
        <w:numPr>
          <w:ilvl w:val="0"/>
          <w:numId w:val="1"/>
        </w:numPr>
        <w:spacing w:after="60"/>
      </w:pPr>
      <w:r>
        <w:t xml:space="preserve">clinician</w:t>
      </w:r>
    </w:p>
    <w:p>
      <w:pPr>
        <w:pStyle w:val="ListParagraph"/>
        <w:numPr>
          <w:ilvl w:val="0"/>
          <w:numId w:val="1"/>
        </w:numPr>
        <w:spacing w:after="60"/>
      </w:pPr>
      <w:r>
        <w:t xml:space="preserve">nurse</w:t>
      </w:r>
    </w:p>
    <w:p>
      <w:pPr>
        <w:pStyle w:val="ListParagraph"/>
        <w:numPr>
          <w:ilvl w:val="0"/>
          <w:numId w:val="1"/>
        </w:numPr>
        <w:spacing w:after="60"/>
      </w:pPr>
      <w:r>
        <w:t xml:space="preserve">billing</w:t>
      </w:r>
    </w:p>
    <w:p>
      <w:pPr>
        <w:pStyle w:val="ListParagraph"/>
        <w:numPr>
          <w:ilvl w:val="0"/>
          <w:numId w:val="1"/>
        </w:numPr>
        <w:spacing w:after="60"/>
      </w:pPr>
      <w:r>
        <w:t xml:space="preserve">hr</w:t>
      </w:r>
    </w:p>
    <w:p>
      <w:pPr>
        <w:pStyle w:val="ListParagraph"/>
        <w:numPr>
          <w:ilvl w:val="0"/>
          <w:numId w:val="1"/>
        </w:numPr>
        <w:spacing w:after="60"/>
      </w:pPr>
      <w:r>
        <w:t xml:space="preserve">it-support</w:t>
      </w:r>
    </w:p>
    <w:p>
      <w:pPr>
        <w:pStyle w:val="ListParagraph"/>
        <w:numPr>
          <w:ilvl w:val="0"/>
          <w:numId w:val="1"/>
        </w:numPr>
        <w:spacing w:after="60"/>
      </w:pPr>
      <w:r>
        <w:t xml:space="preserve">security-analyst</w:t>
      </w:r>
    </w:p>
    <w:p>
      <w:pPr>
        <w:pStyle w:val="ListParagraph"/>
        <w:numPr>
          <w:ilvl w:val="0"/>
          <w:numId w:val="1"/>
        </w:numPr>
        <w:spacing w:after="60"/>
      </w:pPr>
      <w:r>
        <w:t xml:space="preserve">vendor</w:t>
      </w:r>
    </w:p>
    <w:p>
      <w:pPr>
        <w:pStyle w:val="Heading2"/>
        <w:spacing w:after="100" w:before="250"/>
      </w:pPr>
      <w:r>
        <w:t xml:space="preserve">3.3 Groups, mapped to roles</w:t>
      </w:r>
    </w:p>
    <w:p>
      <w:pPr>
        <w:spacing w:after="120"/>
      </w:pPr>
      <w:r>
        <w:rPr>
          <w:b w:val="false"/>
          <w:bCs w:val="false"/>
          <w:i w:val="false"/>
          <w:iCs w:val="false"/>
          <w:color w:val="222222"/>
          <w:sz w:val="21"/>
          <w:szCs w:val="21"/>
        </w:rPr>
        <w:t xml:space="preserve">A role by itself is just a label — nothing is granted until a user is placed in it. Groups are what a user actually joins, and each group carries its role mapping, so adding someone to a group is what grants the access. Created one group per role and assigned the matching role under each group's Role mapping tab:</w:t>
      </w:r>
    </w:p>
    <w:p>
      <w:pPr>
        <w:pStyle w:val="ListParagraph"/>
        <w:numPr>
          <w:ilvl w:val="0"/>
          <w:numId w:val="1"/>
        </w:numPr>
        <w:spacing w:after="60"/>
      </w:pPr>
      <w:r>
        <w:t xml:space="preserve">Clinicians → clinician</w:t>
      </w:r>
    </w:p>
    <w:p>
      <w:pPr>
        <w:pStyle w:val="ListParagraph"/>
        <w:numPr>
          <w:ilvl w:val="0"/>
          <w:numId w:val="1"/>
        </w:numPr>
        <w:spacing w:after="60"/>
      </w:pPr>
      <w:r>
        <w:t xml:space="preserve">Nurses → nurse</w:t>
      </w:r>
    </w:p>
    <w:p>
      <w:pPr>
        <w:pStyle w:val="ListParagraph"/>
        <w:numPr>
          <w:ilvl w:val="0"/>
          <w:numId w:val="1"/>
        </w:numPr>
        <w:spacing w:after="60"/>
      </w:pPr>
      <w:r>
        <w:t xml:space="preserve">Billing → billing</w:t>
      </w:r>
    </w:p>
    <w:p>
      <w:pPr>
        <w:pStyle w:val="ListParagraph"/>
        <w:numPr>
          <w:ilvl w:val="0"/>
          <w:numId w:val="1"/>
        </w:numPr>
        <w:spacing w:after="60"/>
      </w:pPr>
      <w:r>
        <w:t xml:space="preserve">HR → hr</w:t>
      </w:r>
    </w:p>
    <w:p>
      <w:pPr>
        <w:pStyle w:val="ListParagraph"/>
        <w:numPr>
          <w:ilvl w:val="0"/>
          <w:numId w:val="1"/>
        </w:numPr>
        <w:spacing w:after="60"/>
      </w:pPr>
      <w:r>
        <w:t xml:space="preserve">IT-Support → it-support</w:t>
      </w:r>
    </w:p>
    <w:p>
      <w:pPr>
        <w:pStyle w:val="ListParagraph"/>
        <w:numPr>
          <w:ilvl w:val="0"/>
          <w:numId w:val="1"/>
        </w:numPr>
        <w:spacing w:after="60"/>
      </w:pPr>
      <w:r>
        <w:t xml:space="preserve">Security-Analysts → security-analyst</w:t>
      </w:r>
    </w:p>
    <w:p>
      <w:pPr>
        <w:pStyle w:val="ListParagraph"/>
        <w:numPr>
          <w:ilvl w:val="0"/>
          <w:numId w:val="1"/>
        </w:numPr>
        <w:spacing w:after="60"/>
      </w:pPr>
      <w:r>
        <w:t xml:space="preserve">Vendors → vendor</w:t>
      </w:r>
    </w:p>
    <w:p>
      <w:pPr>
        <w:spacing w:after="120"/>
      </w:pPr>
      <w:r>
        <w:rPr>
          <w:b w:val="false"/>
          <w:bCs w:val="false"/>
          <w:i w:val="false"/>
          <w:iCs w:val="false"/>
          <w:color w:val="222222"/>
          <w:sz w:val="21"/>
          <w:szCs w:val="21"/>
        </w:rPr>
        <w:t xml:space="preserve">This group-based model is what makes future Joiner-Mover-Leaver (JML) work clean — provisioning and deprovisioning becomes "add to group" / "remove from group" rather than hand-assigning roles per person.</w:t>
      </w:r>
    </w:p>
    <w:p>
      <w:pPr>
        <w:pStyle w:val="Heading2"/>
        <w:spacing w:after="100" w:before="250"/>
      </w:pPr>
      <w:r>
        <w:t xml:space="preserve">3.4 Clients — one per application</w:t>
      </w:r>
    </w:p>
    <w:p>
      <w:pPr>
        <w:spacing w:after="120"/>
      </w:pPr>
      <w:r>
        <w:rPr>
          <w:b w:val="false"/>
          <w:bCs w:val="false"/>
          <w:i w:val="false"/>
          <w:iCs w:val="false"/>
          <w:color w:val="222222"/>
          <w:sz w:val="21"/>
          <w:szCs w:val="21"/>
        </w:rPr>
        <w:t xml:space="preserve">Created four OpenID Connect clients, one for each simulated application named in the project's tech stack (Section 6), each using the Standard Flow (Authorization Code) — the secure, standard way a web app logs a user in via redirect:</w:t>
      </w:r>
    </w:p>
    <w:p>
      <w:pPr>
        <w:pStyle w:val="ListParagraph"/>
        <w:numPr>
          <w:ilvl w:val="0"/>
          <w:numId w:val="1"/>
        </w:numPr>
        <w:spacing w:after="60"/>
      </w:pPr>
      <w:r>
        <w:t xml:space="preserve">patient-portal</w:t>
      </w:r>
    </w:p>
    <w:p>
      <w:pPr>
        <w:pStyle w:val="ListParagraph"/>
        <w:numPr>
          <w:ilvl w:val="0"/>
          <w:numId w:val="1"/>
        </w:numPr>
        <w:spacing w:after="60"/>
      </w:pPr>
      <w:r>
        <w:t xml:space="preserve">ehr-simulator</w:t>
      </w:r>
    </w:p>
    <w:p>
      <w:pPr>
        <w:pStyle w:val="ListParagraph"/>
        <w:numPr>
          <w:ilvl w:val="0"/>
          <w:numId w:val="1"/>
        </w:numPr>
        <w:spacing w:after="60"/>
      </w:pPr>
      <w:r>
        <w:t xml:space="preserve">billing-app</w:t>
      </w:r>
    </w:p>
    <w:p>
      <w:pPr>
        <w:pStyle w:val="ListParagraph"/>
        <w:numPr>
          <w:ilvl w:val="0"/>
          <w:numId w:val="1"/>
        </w:numPr>
        <w:spacing w:after="60"/>
      </w:pPr>
      <w:r>
        <w:t xml:space="preserve">hr-app</w:t>
      </w:r>
    </w:p>
    <w:p>
      <w:pPr>
        <w:pStyle w:val="Heading2"/>
        <w:spacing w:after="100" w:before="250"/>
      </w:pPr>
      <w:r>
        <w:t xml:space="preserve">3.5 Test users, one per role</w:t>
      </w:r>
    </w:p>
    <w:p>
      <w:pPr>
        <w:spacing w:after="120"/>
      </w:pPr>
      <w:r>
        <w:rPr>
          <w:b w:val="false"/>
          <w:bCs w:val="false"/>
          <w:i w:val="false"/>
          <w:iCs w:val="false"/>
          <w:color w:val="222222"/>
          <w:sz w:val="21"/>
          <w:szCs w:val="21"/>
        </w:rPr>
        <w:t xml:space="preserve">Created one test user per role and joined each to its matching group (Users → Add user → set a password on the Credentials tab → join the group on the Groups tab):</w:t>
      </w:r>
    </w:p>
    <w:p>
      <w:pPr>
        <w:pStyle w:val="ListParagraph"/>
        <w:numPr>
          <w:ilvl w:val="0"/>
          <w:numId w:val="1"/>
        </w:numPr>
        <w:spacing w:after="60"/>
      </w:pPr>
      <w:r>
        <w:t xml:space="preserve">test.clinician1 → Clinicians</w:t>
      </w:r>
    </w:p>
    <w:p>
      <w:pPr>
        <w:pStyle w:val="ListParagraph"/>
        <w:numPr>
          <w:ilvl w:val="0"/>
          <w:numId w:val="1"/>
        </w:numPr>
        <w:spacing w:after="60"/>
      </w:pPr>
      <w:r>
        <w:t xml:space="preserve">test.nurse1 → Nurses</w:t>
      </w:r>
    </w:p>
    <w:p>
      <w:pPr>
        <w:pStyle w:val="ListParagraph"/>
        <w:numPr>
          <w:ilvl w:val="0"/>
          <w:numId w:val="1"/>
        </w:numPr>
        <w:spacing w:after="60"/>
      </w:pPr>
      <w:r>
        <w:t xml:space="preserve">test.billing1 → Billing</w:t>
      </w:r>
    </w:p>
    <w:p>
      <w:pPr>
        <w:pStyle w:val="ListParagraph"/>
        <w:numPr>
          <w:ilvl w:val="0"/>
          <w:numId w:val="1"/>
        </w:numPr>
        <w:spacing w:after="60"/>
      </w:pPr>
      <w:r>
        <w:t xml:space="preserve">test.hr1 → HR</w:t>
      </w:r>
    </w:p>
    <w:p>
      <w:pPr>
        <w:pStyle w:val="ListParagraph"/>
        <w:numPr>
          <w:ilvl w:val="0"/>
          <w:numId w:val="1"/>
        </w:numPr>
        <w:spacing w:after="60"/>
      </w:pPr>
      <w:r>
        <w:t xml:space="preserve">test.itsupport1 → IT-Support</w:t>
      </w:r>
    </w:p>
    <w:p>
      <w:pPr>
        <w:pStyle w:val="ListParagraph"/>
        <w:numPr>
          <w:ilvl w:val="0"/>
          <w:numId w:val="1"/>
        </w:numPr>
        <w:spacing w:after="60"/>
      </w:pPr>
      <w:r>
        <w:t xml:space="preserve">test.secanalyst1 → Security-Analysts</w:t>
      </w:r>
    </w:p>
    <w:p>
      <w:pPr>
        <w:pStyle w:val="ListParagraph"/>
        <w:numPr>
          <w:ilvl w:val="0"/>
          <w:numId w:val="1"/>
        </w:numPr>
        <w:spacing w:after="60"/>
      </w:pPr>
      <w:r>
        <w:t xml:space="preserve">test.vendor1 → Vendors</w:t>
      </w:r>
    </w:p>
    <w:p>
      <w:pPr>
        <w:pStyle w:val="Heading2"/>
        <w:spacing w:after="100" w:before="250"/>
      </w:pPr>
      <w:r>
        <w:t xml:space="preserve">3.6 Event logging</w:t>
      </w:r>
    </w:p>
    <w:p>
      <w:pPr>
        <w:spacing w:after="120"/>
      </w:pPr>
      <w:r>
        <w:rPr>
          <w:b w:val="false"/>
          <w:bCs w:val="false"/>
          <w:i w:val="false"/>
          <w:iCs w:val="false"/>
          <w:color w:val="222222"/>
          <w:sz w:val="21"/>
          <w:szCs w:val="21"/>
        </w:rPr>
        <w:t xml:space="preserve">Enabled Realm settings → Events: Save events (with LOGIN, LOGIN_ERROR, LOGOUT, REGISTER, UPDATE_PASSWORD tracked) and Save admin events (with Include representation on, so group/role changes are fully captured). This is the logging foundation the project's Week 2 milestone calls for, and it is what later evidence capture and monitoring use cases will draw on.</w:t>
      </w:r>
    </w:p>
    <w:p>
      <w:pPr>
        <w:pStyle w:val="Heading1"/>
        <w:spacing w:after="150" w:before="300"/>
      </w:pPr>
      <w:r>
        <w:t xml:space="preserve">4. Registering the app in Microsoft Entra ID</w:t>
      </w:r>
    </w:p>
    <w:p>
      <w:pPr>
        <w:spacing w:after="120"/>
      </w:pPr>
      <w:r>
        <w:rPr>
          <w:b w:val="false"/>
          <w:bCs w:val="false"/>
          <w:i w:val="false"/>
          <w:iCs w:val="false"/>
          <w:color w:val="222222"/>
          <w:sz w:val="21"/>
          <w:szCs w:val="21"/>
        </w:rPr>
        <w:t xml:space="preserve">This part happens in the Azure Portal (portal.azure.com), not Keycloak — it establishes Entra ID as an upstream identity provider that Keycloak can trust.</w:t>
      </w:r>
    </w:p>
    <w:p>
      <w:pPr>
        <w:pStyle w:val="ListParagraph"/>
        <w:numPr>
          <w:ilvl w:val="0"/>
          <w:numId w:val="2"/>
        </w:numPr>
        <w:spacing w:after="60"/>
      </w:pPr>
      <w:r>
        <w:t xml:space="preserve">Microsoft Entra ID → App registrations → New registration.</w:t>
      </w:r>
    </w:p>
    <w:p>
      <w:pPr>
        <w:pStyle w:val="ListParagraph"/>
        <w:numPr>
          <w:ilvl w:val="0"/>
          <w:numId w:val="2"/>
        </w:numPr>
        <w:spacing w:after="60"/>
      </w:pPr>
      <w:r>
        <w:t xml:space="preserve">Name: care-access-navigator-keycloak-broker. Account type: Single tenant.</w:t>
      </w:r>
    </w:p>
    <w:p>
      <w:pPr>
        <w:pStyle w:val="ListParagraph"/>
        <w:numPr>
          <w:ilvl w:val="0"/>
          <w:numId w:val="2"/>
        </w:numPr>
        <w:spacing w:after="60"/>
      </w:pPr>
      <w:r>
        <w:t xml:space="preserve">Redirect URI (platform: Web): http://localhost:8080/realms/care-access-navigator/broker/entra-id/endpoint — this must exactly match the alias (entra-id) used later on the Keycloak side.</w:t>
      </w:r>
    </w:p>
    <w:p>
      <w:pPr>
        <w:pStyle w:val="ListParagraph"/>
        <w:numPr>
          <w:ilvl w:val="0"/>
          <w:numId w:val="2"/>
        </w:numPr>
        <w:spacing w:after="60"/>
      </w:pPr>
      <w:r>
        <w:t xml:space="preserve">Certificates &amp; secrets → New client secret → copied the secret's Value immediately (Azure only shows it once).</w:t>
      </w:r>
    </w:p>
    <w:p>
      <w:pPr>
        <w:pStyle w:val="ListParagraph"/>
        <w:numPr>
          <w:ilvl w:val="0"/>
          <w:numId w:val="2"/>
        </w:numPr>
        <w:spacing w:after="60"/>
      </w:pPr>
      <w:r>
        <w:t xml:space="preserve">API permissions → confirmed openid, profile, email were present under Microsoft Graph, and granted admin consent.</w:t>
      </w:r>
    </w:p>
    <w:p>
      <w:pPr>
        <w:pStyle w:val="ListParagraph"/>
        <w:numPr>
          <w:ilvl w:val="0"/>
          <w:numId w:val="2"/>
        </w:numPr>
        <w:spacing w:after="60"/>
      </w:pPr>
      <w:r>
        <w:t xml:space="preserve">Token configuration → added optional ID token claims: email, given_name, family_name.</w:t>
      </w:r>
    </w:p>
    <w:p>
      <w:pPr>
        <w:pStyle w:val="ListParagraph"/>
        <w:numPr>
          <w:ilvl w:val="0"/>
          <w:numId w:val="2"/>
        </w:numPr>
        <w:spacing w:after="60"/>
      </w:pPr>
      <w:r>
        <w:t xml:space="preserve">From the app's Endpoints panel, copied the OpenID Connect discovery URL: https://login.microsoftonline.com/&lt;tenant-id&gt;/v2.0/.well-known/openid-configuration.</w:t>
      </w:r>
    </w:p>
    <w:p>
      <w:pPr>
        <w:spacing w:after="120"/>
      </w:pPr>
      <w:r>
        <w:rPr>
          <w:b w:val="false"/>
          <w:bCs w:val="false"/>
          <w:i w:val="false"/>
          <w:iCs w:val="false"/>
          <w:color w:val="222222"/>
          <w:sz w:val="21"/>
          <w:szCs w:val="21"/>
        </w:rPr>
        <w:t xml:space="preserve">Noted for reference: the app's Application (client) ID and the tenant's Directory (tenant) ID, both needed on the Keycloak side.</w:t>
      </w:r>
    </w:p>
    <w:p>
      <w:pPr>
        <w:pStyle w:val="Heading1"/>
        <w:spacing w:after="150" w:before="300"/>
      </w:pPr>
      <w:r>
        <w:t xml:space="preserve">5. Configuring Keycloak to federate to Entra ID</w:t>
      </w:r>
    </w:p>
    <w:p>
      <w:pPr>
        <w:pStyle w:val="Heading2"/>
        <w:spacing w:after="100" w:before="250"/>
      </w:pPr>
      <w:r>
        <w:t xml:space="preserve">5.1 Adding the Identity Provider</w:t>
      </w:r>
    </w:p>
    <w:p>
      <w:pPr>
        <w:spacing w:after="120"/>
      </w:pPr>
      <w:r>
        <w:rPr>
          <w:b w:val="false"/>
          <w:bCs w:val="false"/>
          <w:i w:val="false"/>
          <w:iCs w:val="false"/>
          <w:color w:val="222222"/>
          <w:sz w:val="21"/>
          <w:szCs w:val="21"/>
        </w:rPr>
        <w:t xml:space="preserve">Identity Providers → Add provider → OpenID Connect v1.0, with:</w:t>
      </w:r>
    </w:p>
    <w:p>
      <w:pPr>
        <w:pStyle w:val="ListParagraph"/>
        <w:numPr>
          <w:ilvl w:val="0"/>
          <w:numId w:val="1"/>
        </w:numPr>
        <w:spacing w:after="60"/>
      </w:pPr>
      <w:r>
        <w:t xml:space="preserve">Alias: entra-id (must match the redirect URI registered in Azure)</w:t>
      </w:r>
    </w:p>
    <w:p>
      <w:pPr>
        <w:pStyle w:val="ListParagraph"/>
        <w:numPr>
          <w:ilvl w:val="0"/>
          <w:numId w:val="1"/>
        </w:numPr>
        <w:spacing w:after="60"/>
      </w:pPr>
      <w:r>
        <w:t xml:space="preserve">Discovery endpoint: the OpenID Connect metadata URL from Entra ID, which auto-filled the Authorization URL, Token URL, JWKS URL, Logout URL, and Issuer</w:t>
      </w:r>
    </w:p>
    <w:p>
      <w:pPr>
        <w:pStyle w:val="ListParagraph"/>
        <w:numPr>
          <w:ilvl w:val="0"/>
          <w:numId w:val="1"/>
        </w:numPr>
        <w:spacing w:after="60"/>
      </w:pPr>
      <w:r>
        <w:t xml:space="preserve">Client ID / Client Secret: from the Entra ID app registration</w:t>
      </w:r>
    </w:p>
    <w:p>
      <w:pPr>
        <w:pStyle w:val="ListParagraph"/>
        <w:numPr>
          <w:ilvl w:val="0"/>
          <w:numId w:val="1"/>
        </w:numPr>
        <w:spacing w:after="60"/>
      </w:pPr>
      <w:r>
        <w:t xml:space="preserve">Store tokens and Trust Email: both enabled (found under the provider's Advanced settings, only visible after the initial save)</w:t>
      </w:r>
    </w:p>
    <w:p>
      <w:pPr>
        <w:spacing w:after="120"/>
      </w:pPr>
      <w:r>
        <w:rPr>
          <w:b w:val="false"/>
          <w:bCs w:val="false"/>
          <w:i w:val="false"/>
          <w:iCs w:val="false"/>
          <w:color w:val="222222"/>
          <w:sz w:val="21"/>
          <w:szCs w:val="21"/>
        </w:rPr>
        <w:t xml:space="preserve">After saving, Keycloak displayed the exact Redirect URI it expects — confirmed this matched the one entered in Azure character-for-character, since a mismatch here is the most common point of failure in this kind of setup.</w:t>
      </w:r>
    </w:p>
    <w:p>
      <w:pPr>
        <w:pStyle w:val="Heading2"/>
        <w:spacing w:after="100" w:before="250"/>
      </w:pPr>
      <w:r>
        <w:t xml:space="preserve">5.2 Claim mappers — translating Entra ID's token into Keycloak user attributes</w:t>
      </w:r>
    </w:p>
    <w:p>
      <w:pPr>
        <w:spacing w:after="120"/>
      </w:pPr>
      <w:r>
        <w:rPr>
          <w:b w:val="false"/>
          <w:bCs w:val="false"/>
          <w:i w:val="false"/>
          <w:iCs w:val="false"/>
          <w:color w:val="222222"/>
          <w:sz w:val="21"/>
          <w:szCs w:val="21"/>
        </w:rPr>
        <w:t xml:space="preserve">Entra ID's ID token carries fields like email, given_name, and family_name. Without mappers, Keycloak receives the token but doesn't know to copy those values onto the new user's profile. Added three Attribute Importer mappers on the entra-id provider's Mappers tab:</w:t>
      </w:r>
    </w:p>
    <w:p>
      <w:pPr>
        <w:pStyle w:val="ListParagraph"/>
        <w:numPr>
          <w:ilvl w:val="0"/>
          <w:numId w:val="1"/>
        </w:numPr>
        <w:spacing w:after="60"/>
      </w:pPr>
      <w:r>
        <w:t xml:space="preserve">email-mapper — claim email → user attribute email</w:t>
      </w:r>
    </w:p>
    <w:p>
      <w:pPr>
        <w:pStyle w:val="ListParagraph"/>
        <w:numPr>
          <w:ilvl w:val="0"/>
          <w:numId w:val="1"/>
        </w:numPr>
        <w:spacing w:after="60"/>
      </w:pPr>
      <w:r>
        <w:t xml:space="preserve">firstname-mapper — claim given_name → user attribute firstName</w:t>
      </w:r>
    </w:p>
    <w:p>
      <w:pPr>
        <w:pStyle w:val="ListParagraph"/>
        <w:numPr>
          <w:ilvl w:val="0"/>
          <w:numId w:val="1"/>
        </w:numPr>
        <w:spacing w:after="60"/>
      </w:pPr>
      <w:r>
        <w:t xml:space="preserve">lastname-mapper — claim family_name → user attribute lastName</w:t>
      </w:r>
    </w:p>
    <w:p>
      <w:pPr>
        <w:spacing w:after="120"/>
      </w:pPr>
      <w:r>
        <w:rPr>
          <w:b w:val="false"/>
          <w:bCs w:val="false"/>
          <w:i w:val="false"/>
          <w:iCs w:val="false"/>
          <w:color w:val="222222"/>
          <w:sz w:val="21"/>
          <w:szCs w:val="21"/>
        </w:rPr>
        <w:t xml:space="preserve">Each mapper's Sync Mode Override was set to Force (re-applies the mapping on every login, useful while actively testing) rather than Import (applies once, at first login only) or Inherit (defers to the provider's overall Sync Mode).</w:t>
      </w:r>
    </w:p>
    <w:p>
      <w:pPr>
        <w:pStyle w:val="Heading2"/>
        <w:spacing w:after="100" w:before="250"/>
      </w:pPr>
      <w:r>
        <w:t xml:space="preserve">5.3 Username Template Importer — clean, identifiable usernames</w:t>
      </w:r>
    </w:p>
    <w:p>
      <w:pPr>
        <w:spacing w:after="120"/>
      </w:pPr>
      <w:r>
        <w:rPr>
          <w:b w:val="false"/>
          <w:bCs w:val="false"/>
          <w:i w:val="false"/>
          <w:iCs w:val="false"/>
          <w:color w:val="222222"/>
          <w:sz w:val="21"/>
          <w:szCs w:val="21"/>
        </w:rPr>
        <w:t xml:space="preserve">Without this mapper, Keycloak generates a username from Entra ID's opaque internal subject ID — functional, but unreadable. Added a fourth mapper:</w:t>
      </w:r>
    </w:p>
    <w:p>
      <w:pPr>
        <w:pStyle w:val="ListParagraph"/>
        <w:numPr>
          <w:ilvl w:val="0"/>
          <w:numId w:val="1"/>
        </w:numPr>
        <w:spacing w:after="60"/>
      </w:pPr>
      <w:r>
        <w:t xml:space="preserve">Mapper type: Username Template Importer</w:t>
      </w:r>
    </w:p>
    <w:p>
      <w:pPr>
        <w:pStyle w:val="ListParagraph"/>
        <w:numPr>
          <w:ilvl w:val="0"/>
          <w:numId w:val="1"/>
        </w:numPr>
        <w:spacing w:after="60"/>
      </w:pPr>
      <w:r>
        <w:t xml:space="preserve">Template: ${ALIAS}.${CLAIM.preferred_username} — Keycloak's own default, which prefixes the username with the identity provider's alias (entra-id), making federated accounts instantly recognizable in the Users list</w:t>
      </w:r>
    </w:p>
    <w:p>
      <w:pPr>
        <w:pStyle w:val="ListParagraph"/>
        <w:numPr>
          <w:ilvl w:val="0"/>
          <w:numId w:val="1"/>
        </w:numPr>
        <w:spacing w:after="60"/>
      </w:pPr>
      <w:r>
        <w:t xml:space="preserve">Target: LOCAL</w:t>
      </w:r>
    </w:p>
    <w:p>
      <w:pPr>
        <w:pStyle w:val="ListParagraph"/>
        <w:numPr>
          <w:ilvl w:val="0"/>
          <w:numId w:val="1"/>
        </w:numPr>
        <w:spacing w:after="60"/>
      </w:pPr>
      <w:r>
        <w:t xml:space="preserve">Sync Mode Override: Force</w:t>
      </w:r>
    </w:p>
    <w:p>
      <w:pPr>
        <w:spacing w:after="120"/>
      </w:pPr>
      <w:r>
        <w:rPr>
          <w:b w:val="false"/>
          <w:bCs w:val="false"/>
          <w:i w:val="false"/>
          <w:iCs w:val="false"/>
          <w:color w:val="222222"/>
          <w:sz w:val="21"/>
          <w:szCs w:val="21"/>
        </w:rPr>
        <w:t xml:space="preserve">preferred_username was used instead of email as the basis for the template because, during testing, the email claim came back empty for this particular Entra ID account (a personal/Gmail-backed "Default Directory" tenant doesn't always populate the mail attribute), while preferred_username was reliably present.</w:t>
      </w:r>
    </w:p>
    <w:p>
      <w:pPr>
        <w:pStyle w:val="Heading1"/>
        <w:spacing w:after="150" w:before="300"/>
      </w:pPr>
      <w:r>
        <w:t xml:space="preserve">6. Testing the federated login, and what went wrong along the way</w:t>
      </w:r>
    </w:p>
    <w:p>
      <w:pPr>
        <w:spacing w:after="120"/>
      </w:pPr>
      <w:r>
        <w:rPr>
          <w:b w:val="false"/>
          <w:bCs w:val="false"/>
          <w:i w:val="false"/>
          <w:iCs w:val="false"/>
          <w:color w:val="222222"/>
          <w:sz w:val="21"/>
          <w:szCs w:val="21"/>
        </w:rPr>
        <w:t xml:space="preserve">Testing was done via Keycloak's built-in realm account console (a page every realm ships with for end users to log in and manage their own profile):</w:t>
      </w:r>
    </w:p>
    <w:p>
      <w:pPr>
        <w:pBdr>
          <w:top w:val="single" w:color="CCCCCC" w:sz="2"/>
          <w:bottom w:val="single" w:color="CCCCCC" w:sz="2"/>
          <w:left w:val="single" w:color="CCCCCC" w:sz="2"/>
          <w:right w:val="single" w:color="CCCCCC" w:sz="2"/>
        </w:pBdr>
        <w:shd w:fill="F3F3F3" w:color="auto" w:val="clear"/>
        <w:spacing w:after="120" w:before="60"/>
      </w:pPr>
      <w:r>
        <w:rPr>
          <w:rFonts w:ascii="Consolas" w:cs="Consolas" w:eastAsia="Consolas" w:hAnsi="Consolas"/>
          <w:color w:val="1a1a1a"/>
          <w:sz w:val="19"/>
          <w:szCs w:val="19"/>
        </w:rPr>
        <w:t xml:space="preserve">http://localhost:8080/realms/care-access-navigator/account</w:t>
      </w:r>
    </w:p>
    <w:p>
      <w:pPr>
        <w:pStyle w:val="Heading2"/>
        <w:spacing w:after="100" w:before="250"/>
      </w:pPr>
      <w:r>
        <w:t xml:space="preserve">6.1 First attempt — a client ID typo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DE8E8" w:color="auto" w:val="clear"/>
            <w:tcMar>
              <w:top w:type="dxa" w:w="150"/>
              <w:left w:type="dxa" w:w="200"/>
              <w:bottom w:type="dxa" w:w="150"/>
              <w:right w:type="dxa" w:w="200"/>
            </w:tcMar>
          </w:tcPr>
          <w:p>
            <w:pPr>
              <w:spacing w:after="60"/>
            </w:pPr>
            <w:r>
              <w:rPr>
                <w:b/>
                <w:bCs/>
                <w:sz w:val="21"/>
                <w:szCs w:val="21"/>
              </w:rPr>
              <w:t xml:space="preserve">Issue</w:t>
            </w:r>
          </w:p>
          <w:p>
            <w:r>
              <w:rPr>
                <w:sz w:val="20"/>
                <w:szCs w:val="20"/>
              </w:rPr>
              <w:t xml:space="preserve">AADSTS700016: Application with identifier '...' was not found in the directory. The Client ID pasted into Keycloak contained a stray space in the middle, picked up from copying the value out of the Azure Portal.</w:t>
            </w:r>
          </w:p>
        </w:tc>
      </w:tr>
    </w:tbl>
    <w:p>
      <w:pPr>
        <w:spacing w:after="120"/>
      </w:pPr>
      <w:r>
        <w:rPr>
          <w:b w:val="false"/>
          <w:bCs w:val="false"/>
          <w:i w:val="false"/>
          <w:iCs w:val="false"/>
          <w:color w:val="222222"/>
          <w:sz w:val="21"/>
          <w:szCs w:val="21"/>
        </w:rPr>
        <w:t xml:space="preserve">Fixed by re-copying the Client ID directly via Azure's copy-to-clipboard icon and re-pasting it cleanly into Keycloak.</w:t>
      </w:r>
    </w:p>
    <w:p>
      <w:pPr>
        <w:pStyle w:val="Heading2"/>
        <w:spacing w:after="100" w:before="250"/>
      </w:pPr>
      <w:r>
        <w:t xml:space="preserve">6.2 First successful login</w:t>
      </w:r>
    </w:p>
    <w:p>
      <w:pPr>
        <w:spacing w:after="120"/>
      </w:pPr>
      <w:r>
        <w:rPr>
          <w:b w:val="false"/>
          <w:bCs w:val="false"/>
          <w:i w:val="false"/>
          <w:iCs w:val="false"/>
          <w:color w:val="222222"/>
          <w:sz w:val="21"/>
          <w:szCs w:val="21"/>
        </w:rPr>
        <w:t xml:space="preserve">With the client ID corrected, the flow worked: signing in via Entra ID redirected back to Keycloak's "Update Account Information" screen, correctly pre-filled with First name (Akhila) and Last name (Chennamaneni) pulled straight from the token — confirming the claim mappers were working. The Email field came back blank (same root cause as above — the account's mail attribute wasn't populated in Entra ID), so it was filled in manually to complete the one-time profile setup. The generated Username was a long opaque string at this point, since the Username Template Importer mapper hadn't been added yet.</w:t>
      </w:r>
    </w:p>
    <w:p>
      <w:pPr>
        <w:pStyle w:val="Heading2"/>
        <w:spacing w:after="100" w:before="250"/>
      </w:pPr>
      <w:r>
        <w:t xml:space="preserve">6.3 Adding the username mapper, then a clean retest</w:t>
      </w:r>
    </w:p>
    <w:p>
      <w:pPr>
        <w:spacing w:after="120"/>
      </w:pPr>
      <w:r>
        <w:rPr>
          <w:b w:val="false"/>
          <w:bCs w:val="false"/>
          <w:i w:val="false"/>
          <w:iCs w:val="false"/>
          <w:color w:val="222222"/>
          <w:sz w:val="21"/>
          <w:szCs w:val="21"/>
        </w:rPr>
        <w:t xml:space="preserve">After adding the Username Template Importer mapper (section 5.3), the existing federated test user was deleted from Keycloak's Users list so a fresh login would generate a new, clean username rather than keep the old opaque one (this mapper only shapes the username at account creation, not retroactively).</w:t>
      </w:r>
    </w:p>
    <w:p>
      <w:pPr>
        <w:pStyle w:val="Heading2"/>
        <w:spacing w:after="100" w:before="250"/>
      </w:pPr>
      <w:r>
        <w:t xml:space="preserve">6.4 "Missing state parameter" error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DE8E8" w:color="auto" w:val="clear"/>
            <w:tcMar>
              <w:top w:type="dxa" w:w="150"/>
              <w:left w:type="dxa" w:w="200"/>
              <w:bottom w:type="dxa" w:w="150"/>
              <w:right w:type="dxa" w:w="200"/>
            </w:tcMar>
          </w:tcPr>
          <w:p>
            <w:pPr>
              <w:spacing w:after="60"/>
            </w:pPr>
            <w:r>
              <w:rPr>
                <w:b/>
                <w:bCs/>
                <w:sz w:val="21"/>
                <w:szCs w:val="21"/>
              </w:rPr>
              <w:t xml:space="preserve">Issue</w:t>
            </w:r>
          </w:p>
          <w:p>
            <w:r>
              <w:rPr>
                <w:sz w:val="20"/>
                <w:szCs w:val="20"/>
              </w:rPr>
              <w:t xml:space="preserve">We are sorry... Missing state parameter in response from identity provider. Appeared on the retest.</w:t>
            </w:r>
          </w:p>
        </w:tc>
      </w:tr>
    </w:tbl>
    <w:p>
      <w:pPr>
        <w:spacing w:after="120"/>
      </w:pPr>
      <w:r>
        <w:rPr>
          <w:b w:val="false"/>
          <w:bCs w:val="false"/>
          <w:i w:val="false"/>
          <w:iCs w:val="false"/>
          <w:color w:val="222222"/>
          <w:sz w:val="21"/>
          <w:szCs w:val="21"/>
        </w:rPr>
        <w:t xml:space="preserve">Root cause, confirmed during troubleshooting: a combination of a stale/broken identity provider configuration and orphaned leftover user accounts from the deleted test user, which were blocking the account-linking step during a fresh login attempt.</w:t>
      </w:r>
    </w:p>
    <w:p>
      <w:pPr>
        <w:pStyle w:val="Heading2"/>
        <w:spacing w:after="100" w:before="250"/>
      </w:pPr>
      <w:r>
        <w:t xml:space="preserve">6.5 502 Bad Gateway error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DE8E8" w:color="auto" w:val="clear"/>
            <w:tcMar>
              <w:top w:type="dxa" w:w="150"/>
              <w:left w:type="dxa" w:w="200"/>
              <w:bottom w:type="dxa" w:w="150"/>
              <w:right w:type="dxa" w:w="200"/>
            </w:tcMar>
          </w:tcPr>
          <w:p>
            <w:pPr>
              <w:spacing w:after="60"/>
            </w:pPr>
            <w:r>
              <w:rPr>
                <w:b/>
                <w:bCs/>
                <w:sz w:val="21"/>
                <w:szCs w:val="21"/>
              </w:rPr>
              <w:t xml:space="preserve">Issue</w:t>
            </w:r>
          </w:p>
          <w:p>
            <w:r>
              <w:rPr>
                <w:sz w:val="20"/>
                <w:szCs w:val="20"/>
              </w:rPr>
              <w:t xml:space="preserve">Failed to load resource: the server responded with a status of 502 (Bad Gateway) on http://localhost:8080/realms/care-access-navigator/broker/entra-id/endpoint.</w:t>
            </w:r>
          </w:p>
        </w:tc>
      </w:tr>
    </w:tbl>
    <w:p>
      <w:pPr>
        <w:spacing w:after="120"/>
      </w:pPr>
      <w:r>
        <w:rPr>
          <w:b w:val="false"/>
          <w:bCs w:val="false"/>
          <w:i w:val="false"/>
          <w:iCs w:val="false"/>
          <w:color w:val="222222"/>
          <w:sz w:val="21"/>
          <w:szCs w:val="21"/>
        </w:rPr>
        <w:t xml:space="preserve">Root cause: Docker Desktop's daemon had stopped running on the host machine, so Keycloak's container was unreachable. Fixed by restarting Docker Desktop.</w:t>
      </w:r>
    </w:p>
    <w:p>
      <w:pPr>
        <w:pStyle w:val="Heading2"/>
        <w:spacing w:after="100" w:before="250"/>
      </w:pPr>
      <w:r>
        <w:t xml:space="preserve">6.6 Resolution</w:t>
      </w:r>
    </w:p>
    <w:p>
      <w:pPr>
        <w:spacing w:after="120"/>
      </w:pPr>
      <w:r>
        <w:rPr>
          <w:b w:val="false"/>
          <w:bCs w:val="false"/>
          <w:i w:val="false"/>
          <w:iCs w:val="false"/>
          <w:color w:val="222222"/>
          <w:sz w:val="21"/>
          <w:szCs w:val="21"/>
        </w:rPr>
        <w:t xml:space="preserve">With Docker Desktop restarted, the identity provider secret refreshed, and the orphaned accounts removed, the federated login was retested end to end and confirmed working: a new user, entra-id.akhilarao, was created, correctly linked to the entra-id identity provider under the external identity matching the Entra ID account.</w:t>
      </w:r>
    </w:p>
    <w:p>
      <w:pPr>
        <w:pStyle w:val="Heading1"/>
        <w:spacing w:after="150" w:before="300"/>
      </w:pPr>
      <w:r>
        <w:t xml:space="preserve">7. Current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4E5F" w:color="auto" w:val="clear"/>
            <w:tcMar>
              <w:top w:type="dxa" w:w="100"/>
              <w:left w:type="dxa" w:w="100"/>
              <w:bottom w:type="dxa" w:w="100"/>
              <w:right w:type="dxa" w:w="100"/>
            </w:tcMar>
          </w:tcPr>
          <w:p>
            <w:r>
              <w:rPr>
                <w:b/>
                <w:bCs/>
                <w:color w:val="FFFFFF"/>
                <w:sz w:val="20"/>
                <w:szCs w:val="20"/>
              </w:rPr>
              <w:t xml:space="preserve">Component</w:t>
            </w:r>
          </w:p>
        </w:tc>
        <w:tc>
          <w:tcPr>
            <w:tcW w:type="dxa" w:w="3850"/>
            <w:shd w:fill="1F4E5F" w:color="auto" w:val="clear"/>
            <w:tcMar>
              <w:top w:type="dxa" w:w="100"/>
              <w:left w:type="dxa" w:w="100"/>
              <w:bottom w:type="dxa" w:w="100"/>
              <w:right w:type="dxa" w:w="100"/>
            </w:tcMar>
          </w:tcPr>
          <w:p>
            <w:r>
              <w:rPr>
                <w:b/>
                <w:bCs/>
                <w:color w:val="FFFFFF"/>
                <w:sz w:val="20"/>
                <w:szCs w:val="20"/>
              </w:rPr>
              <w:t xml:space="preserve">Status</w:t>
            </w:r>
          </w:p>
        </w:tc>
      </w:tr>
      <w:tr>
        <w:tc>
          <w:tcPr>
            <w:tcW w:type="dxa" w:w="5500"/>
            <w:tcMar>
              <w:top w:type="dxa" w:w="90"/>
              <w:left w:type="dxa" w:w="100"/>
              <w:bottom w:type="dxa" w:w="90"/>
              <w:right w:type="dxa" w:w="100"/>
            </w:tcMar>
          </w:tcPr>
          <w:p>
            <w:r>
              <w:rPr>
                <w:sz w:val="20"/>
                <w:szCs w:val="20"/>
              </w:rPr>
              <w:t xml:space="preserve">Docker: Keycloak + Postgres (persistent)</w:t>
            </w:r>
          </w:p>
        </w:tc>
        <w:tc>
          <w:tcPr>
            <w:tcW w:type="dxa" w:w="3850"/>
            <w:tcMar>
              <w:top w:type="dxa" w:w="90"/>
              <w:left w:type="dxa" w:w="100"/>
              <w:bottom w:type="dxa" w:w="90"/>
              <w:right w:type="dxa" w:w="100"/>
            </w:tcMar>
          </w:tcPr>
          <w:p>
            <w:r>
              <w:rPr>
                <w:b/>
                <w:bCs/>
                <w:sz w:val="20"/>
                <w:szCs w:val="20"/>
              </w:rPr>
              <w:t xml:space="preserve">Done</w:t>
            </w:r>
          </w:p>
        </w:tc>
      </w:tr>
      <w:tr>
        <w:tc>
          <w:tcPr>
            <w:tcW w:type="dxa" w:w="5500"/>
            <w:shd w:fill="F2F2F2" w:color="auto" w:val="clear"/>
            <w:tcMar>
              <w:top w:type="dxa" w:w="90"/>
              <w:left w:type="dxa" w:w="100"/>
              <w:bottom w:type="dxa" w:w="90"/>
              <w:right w:type="dxa" w:w="100"/>
            </w:tcMar>
          </w:tcPr>
          <w:p>
            <w:r>
              <w:rPr>
                <w:sz w:val="20"/>
                <w:szCs w:val="20"/>
              </w:rPr>
              <w:t xml:space="preserve">Realm, 7 roles, 7 groups (role-mapped)</w:t>
            </w:r>
          </w:p>
        </w:tc>
        <w:tc>
          <w:tcPr>
            <w:tcW w:type="dxa" w:w="3850"/>
            <w:shd w:fill="F2F2F2" w:color="auto" w:val="clear"/>
            <w:tcMar>
              <w:top w:type="dxa" w:w="90"/>
              <w:left w:type="dxa" w:w="100"/>
              <w:bottom w:type="dxa" w:w="90"/>
              <w:right w:type="dxa" w:w="100"/>
            </w:tcMar>
          </w:tcPr>
          <w:p>
            <w:r>
              <w:rPr>
                <w:b/>
                <w:bCs/>
                <w:sz w:val="20"/>
                <w:szCs w:val="20"/>
              </w:rPr>
              <w:t xml:space="preserve">Done</w:t>
            </w:r>
          </w:p>
        </w:tc>
      </w:tr>
      <w:tr>
        <w:tc>
          <w:tcPr>
            <w:tcW w:type="dxa" w:w="5500"/>
            <w:tcMar>
              <w:top w:type="dxa" w:w="90"/>
              <w:left w:type="dxa" w:w="100"/>
              <w:bottom w:type="dxa" w:w="90"/>
              <w:right w:type="dxa" w:w="100"/>
            </w:tcMar>
          </w:tcPr>
          <w:p>
            <w:r>
              <w:rPr>
                <w:sz w:val="20"/>
                <w:szCs w:val="20"/>
              </w:rPr>
              <w:t xml:space="preserve">4 app clients</w:t>
            </w:r>
          </w:p>
        </w:tc>
        <w:tc>
          <w:tcPr>
            <w:tcW w:type="dxa" w:w="3850"/>
            <w:tcMar>
              <w:top w:type="dxa" w:w="90"/>
              <w:left w:type="dxa" w:w="100"/>
              <w:bottom w:type="dxa" w:w="90"/>
              <w:right w:type="dxa" w:w="100"/>
            </w:tcMar>
          </w:tcPr>
          <w:p>
            <w:r>
              <w:rPr>
                <w:b/>
                <w:bCs/>
                <w:sz w:val="20"/>
                <w:szCs w:val="20"/>
              </w:rPr>
              <w:t xml:space="preserve">Done</w:t>
            </w:r>
          </w:p>
        </w:tc>
      </w:tr>
      <w:tr>
        <w:tc>
          <w:tcPr>
            <w:tcW w:type="dxa" w:w="5500"/>
            <w:shd w:fill="F2F2F2" w:color="auto" w:val="clear"/>
            <w:tcMar>
              <w:top w:type="dxa" w:w="90"/>
              <w:left w:type="dxa" w:w="100"/>
              <w:bottom w:type="dxa" w:w="90"/>
              <w:right w:type="dxa" w:w="100"/>
            </w:tcMar>
          </w:tcPr>
          <w:p>
            <w:r>
              <w:rPr>
                <w:sz w:val="20"/>
                <w:szCs w:val="20"/>
              </w:rPr>
              <w:t xml:space="preserve">7 local test users, assigned to groups</w:t>
            </w:r>
          </w:p>
        </w:tc>
        <w:tc>
          <w:tcPr>
            <w:tcW w:type="dxa" w:w="3850"/>
            <w:shd w:fill="F2F2F2" w:color="auto" w:val="clear"/>
            <w:tcMar>
              <w:top w:type="dxa" w:w="90"/>
              <w:left w:type="dxa" w:w="100"/>
              <w:bottom w:type="dxa" w:w="90"/>
              <w:right w:type="dxa" w:w="100"/>
            </w:tcMar>
          </w:tcPr>
          <w:p>
            <w:r>
              <w:rPr>
                <w:b/>
                <w:bCs/>
                <w:sz w:val="20"/>
                <w:szCs w:val="20"/>
              </w:rPr>
              <w:t xml:space="preserve">Done</w:t>
            </w:r>
          </w:p>
        </w:tc>
      </w:tr>
      <w:tr>
        <w:tc>
          <w:tcPr>
            <w:tcW w:type="dxa" w:w="5500"/>
            <w:tcMar>
              <w:top w:type="dxa" w:w="90"/>
              <w:left w:type="dxa" w:w="100"/>
              <w:bottom w:type="dxa" w:w="90"/>
              <w:right w:type="dxa" w:w="100"/>
            </w:tcMar>
          </w:tcPr>
          <w:p>
            <w:r>
              <w:rPr>
                <w:sz w:val="20"/>
                <w:szCs w:val="20"/>
              </w:rPr>
              <w:t xml:space="preserve">Event logging (user + admin events)</w:t>
            </w:r>
          </w:p>
        </w:tc>
        <w:tc>
          <w:tcPr>
            <w:tcW w:type="dxa" w:w="3850"/>
            <w:tcMar>
              <w:top w:type="dxa" w:w="90"/>
              <w:left w:type="dxa" w:w="100"/>
              <w:bottom w:type="dxa" w:w="90"/>
              <w:right w:type="dxa" w:w="100"/>
            </w:tcMar>
          </w:tcPr>
          <w:p>
            <w:r>
              <w:rPr>
                <w:b/>
                <w:bCs/>
                <w:sz w:val="20"/>
                <w:szCs w:val="20"/>
              </w:rPr>
              <w:t xml:space="preserve">Done</w:t>
            </w:r>
          </w:p>
        </w:tc>
      </w:tr>
      <w:tr>
        <w:tc>
          <w:tcPr>
            <w:tcW w:type="dxa" w:w="5500"/>
            <w:shd w:fill="F2F2F2" w:color="auto" w:val="clear"/>
            <w:tcMar>
              <w:top w:type="dxa" w:w="90"/>
              <w:left w:type="dxa" w:w="100"/>
              <w:bottom w:type="dxa" w:w="90"/>
              <w:right w:type="dxa" w:w="100"/>
            </w:tcMar>
          </w:tcPr>
          <w:p>
            <w:r>
              <w:rPr>
                <w:sz w:val="20"/>
                <w:szCs w:val="20"/>
              </w:rPr>
              <w:t xml:space="preserve">Entra ID app registration</w:t>
            </w:r>
          </w:p>
        </w:tc>
        <w:tc>
          <w:tcPr>
            <w:tcW w:type="dxa" w:w="3850"/>
            <w:shd w:fill="F2F2F2" w:color="auto" w:val="clear"/>
            <w:tcMar>
              <w:top w:type="dxa" w:w="90"/>
              <w:left w:type="dxa" w:w="100"/>
              <w:bottom w:type="dxa" w:w="90"/>
              <w:right w:type="dxa" w:w="100"/>
            </w:tcMar>
          </w:tcPr>
          <w:p>
            <w:r>
              <w:rPr>
                <w:b/>
                <w:bCs/>
                <w:sz w:val="20"/>
                <w:szCs w:val="20"/>
              </w:rPr>
              <w:t xml:space="preserve">Done</w:t>
            </w:r>
          </w:p>
        </w:tc>
      </w:tr>
      <w:tr>
        <w:tc>
          <w:tcPr>
            <w:tcW w:type="dxa" w:w="5500"/>
            <w:tcMar>
              <w:top w:type="dxa" w:w="90"/>
              <w:left w:type="dxa" w:w="100"/>
              <w:bottom w:type="dxa" w:w="90"/>
              <w:right w:type="dxa" w:w="100"/>
            </w:tcMar>
          </w:tcPr>
          <w:p>
            <w:r>
              <w:rPr>
                <w:sz w:val="20"/>
                <w:szCs w:val="20"/>
              </w:rPr>
              <w:t xml:space="preserve">Keycloak identity provider + claim mappers</w:t>
            </w:r>
          </w:p>
        </w:tc>
        <w:tc>
          <w:tcPr>
            <w:tcW w:type="dxa" w:w="3850"/>
            <w:tcMar>
              <w:top w:type="dxa" w:w="90"/>
              <w:left w:type="dxa" w:w="100"/>
              <w:bottom w:type="dxa" w:w="90"/>
              <w:right w:type="dxa" w:w="100"/>
            </w:tcMar>
          </w:tcPr>
          <w:p>
            <w:r>
              <w:rPr>
                <w:b/>
                <w:bCs/>
                <w:sz w:val="20"/>
                <w:szCs w:val="20"/>
              </w:rPr>
              <w:t xml:space="preserve">Done</w:t>
            </w:r>
          </w:p>
        </w:tc>
      </w:tr>
      <w:tr>
        <w:tc>
          <w:tcPr>
            <w:tcW w:type="dxa" w:w="5500"/>
            <w:shd w:fill="F2F2F2" w:color="auto" w:val="clear"/>
            <w:tcMar>
              <w:top w:type="dxa" w:w="90"/>
              <w:left w:type="dxa" w:w="100"/>
              <w:bottom w:type="dxa" w:w="90"/>
              <w:right w:type="dxa" w:w="100"/>
            </w:tcMar>
          </w:tcPr>
          <w:p>
            <w:r>
              <w:rPr>
                <w:sz w:val="20"/>
                <w:szCs w:val="20"/>
              </w:rPr>
              <w:t xml:space="preserve">Username template mapper</w:t>
            </w:r>
          </w:p>
        </w:tc>
        <w:tc>
          <w:tcPr>
            <w:tcW w:type="dxa" w:w="3850"/>
            <w:shd w:fill="F2F2F2" w:color="auto" w:val="clear"/>
            <w:tcMar>
              <w:top w:type="dxa" w:w="90"/>
              <w:left w:type="dxa" w:w="100"/>
              <w:bottom w:type="dxa" w:w="90"/>
              <w:right w:type="dxa" w:w="100"/>
            </w:tcMar>
          </w:tcPr>
          <w:p>
            <w:r>
              <w:rPr>
                <w:b/>
                <w:bCs/>
                <w:sz w:val="20"/>
                <w:szCs w:val="20"/>
              </w:rPr>
              <w:t xml:space="preserve">Done</w:t>
            </w:r>
          </w:p>
        </w:tc>
      </w:tr>
      <w:tr>
        <w:tc>
          <w:tcPr>
            <w:tcW w:type="dxa" w:w="5500"/>
            <w:tcMar>
              <w:top w:type="dxa" w:w="90"/>
              <w:left w:type="dxa" w:w="100"/>
              <w:bottom w:type="dxa" w:w="90"/>
              <w:right w:type="dxa" w:w="100"/>
            </w:tcMar>
          </w:tcPr>
          <w:p>
            <w:r>
              <w:rPr>
                <w:sz w:val="20"/>
                <w:szCs w:val="20"/>
              </w:rPr>
              <w:t xml:space="preserve">Federated login — proven working end to end</w:t>
            </w:r>
          </w:p>
        </w:tc>
        <w:tc>
          <w:tcPr>
            <w:tcW w:type="dxa" w:w="3850"/>
            <w:tcMar>
              <w:top w:type="dxa" w:w="90"/>
              <w:left w:type="dxa" w:w="100"/>
              <w:bottom w:type="dxa" w:w="90"/>
              <w:right w:type="dxa" w:w="100"/>
            </w:tcMar>
          </w:tcPr>
          <w:p>
            <w:r>
              <w:rPr>
                <w:b/>
                <w:bCs/>
                <w:sz w:val="20"/>
                <w:szCs w:val="20"/>
              </w:rPr>
              <w:t xml:space="preserve">Done</w:t>
            </w:r>
          </w:p>
        </w:tc>
      </w:tr>
      <w:tr>
        <w:tc>
          <w:tcPr>
            <w:tcW w:type="dxa" w:w="5500"/>
            <w:shd w:fill="F2F2F2" w:color="auto" w:val="clear"/>
            <w:tcMar>
              <w:top w:type="dxa" w:w="90"/>
              <w:left w:type="dxa" w:w="100"/>
              <w:bottom w:type="dxa" w:w="90"/>
              <w:right w:type="dxa" w:w="100"/>
            </w:tcMar>
          </w:tcPr>
          <w:p>
            <w:r>
              <w:rPr>
                <w:sz w:val="20"/>
                <w:szCs w:val="20"/>
              </w:rPr>
              <w:t xml:space="preserve">One more clean end-to-end retest for stability</w:t>
            </w:r>
          </w:p>
        </w:tc>
        <w:tc>
          <w:tcPr>
            <w:tcW w:type="dxa" w:w="3850"/>
            <w:shd w:fill="F2F2F2" w:color="auto" w:val="clear"/>
            <w:tcMar>
              <w:top w:type="dxa" w:w="90"/>
              <w:left w:type="dxa" w:w="100"/>
              <w:bottom w:type="dxa" w:w="90"/>
              <w:right w:type="dxa" w:w="100"/>
            </w:tcMar>
          </w:tcPr>
          <w:p>
            <w:r>
              <w:rPr>
                <w:b w:val="false"/>
                <w:bCs w:val="false"/>
                <w:sz w:val="20"/>
                <w:szCs w:val="20"/>
              </w:rPr>
              <w:t xml:space="preserve">Recommended, not yet done</w:t>
            </w:r>
          </w:p>
        </w:tc>
      </w:tr>
      <w:tr>
        <w:tc>
          <w:tcPr>
            <w:tcW w:type="dxa" w:w="5500"/>
            <w:tcMar>
              <w:top w:type="dxa" w:w="90"/>
              <w:left w:type="dxa" w:w="100"/>
              <w:bottom w:type="dxa" w:w="90"/>
              <w:right w:type="dxa" w:w="100"/>
            </w:tcMar>
          </w:tcPr>
          <w:p>
            <w:r>
              <w:rPr>
                <w:sz w:val="20"/>
                <w:szCs w:val="20"/>
              </w:rPr>
              <w:t xml:space="preserve">Evidence screenshots captured</w:t>
            </w:r>
          </w:p>
        </w:tc>
        <w:tc>
          <w:tcPr>
            <w:tcW w:type="dxa" w:w="3850"/>
            <w:tcMar>
              <w:top w:type="dxa" w:w="90"/>
              <w:left w:type="dxa" w:w="100"/>
              <w:bottom w:type="dxa" w:w="90"/>
              <w:right w:type="dxa" w:w="100"/>
            </w:tcMar>
          </w:tcPr>
          <w:p>
            <w:r>
              <w:rPr>
                <w:b w:val="false"/>
                <w:bCs w:val="false"/>
                <w:sz w:val="20"/>
                <w:szCs w:val="20"/>
              </w:rPr>
              <w:t xml:space="preserve">Not yet done</w:t>
            </w:r>
          </w:p>
        </w:tc>
      </w:tr>
    </w:tbl>
    <w:p>
      <w:pPr>
        <w:pStyle w:val="Heading1"/>
        <w:spacing w:after="150" w:before="300"/>
      </w:pPr>
      <w:r>
        <w:t xml:space="preserve">8. Next steps</w:t>
      </w:r>
    </w:p>
    <w:p>
      <w:pPr>
        <w:pStyle w:val="ListParagraph"/>
        <w:numPr>
          <w:ilvl w:val="0"/>
          <w:numId w:val="2"/>
        </w:numPr>
        <w:spacing w:after="60"/>
      </w:pPr>
      <w:r>
        <w:t xml:space="preserve">Run one more clean federated login test (fresh incognito/private window, no leftover session) to confirm stability.</w:t>
      </w:r>
    </w:p>
    <w:p>
      <w:pPr>
        <w:pStyle w:val="ListParagraph"/>
        <w:numPr>
          <w:ilvl w:val="0"/>
          <w:numId w:val="2"/>
        </w:numPr>
        <w:spacing w:after="60"/>
      </w:pPr>
      <w:r>
        <w:t xml:space="preserve">Capture evidence screenshots: Entra ID app registration overview; Keycloak entra-id provider settings and mappers; the successful login landing in the account console; the resulting user's Details and Identity Provider Links tabs; the IDENTITY_PROVIDER_LOGIN event in Realm settings → Events.</w:t>
      </w:r>
    </w:p>
    <w:p>
      <w:pPr>
        <w:pStyle w:val="ListParagraph"/>
        <w:numPr>
          <w:ilvl w:val="0"/>
          <w:numId w:val="2"/>
        </w:numPr>
        <w:spacing w:after="60"/>
      </w:pPr>
      <w:r>
        <w:t xml:space="preserve">Update the project's rubric/status documentation to reflect this milestone as implemented rather than planned, per the Week-by-week framing used in the other rubric reports.</w:t>
      </w:r>
    </w:p>
    <w:p>
      <w:pPr>
        <w:pStyle w:val="ListParagraph"/>
        <w:numPr>
          <w:ilvl w:val="0"/>
          <w:numId w:val="2"/>
        </w:numPr>
        <w:spacing w:after="60"/>
      </w:pPr>
      <w:r>
        <w:t xml:space="preserve">Optional refinement: build out one of the four mock applications (e.g. patient-portal) so its Valid Redirect URIs can be corrected from the http://localhost:3000/* placeholder to a real URL, and so role-based access can actually be demonstrated inside an application rather than only at the Keycloak login layer.</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2026-09-22T15:20:21.625Z</dcterms:created>
  <dcterms:modified xsi:type="dcterms:W3CDTF">2026-09-22T15:20:21.625Z</dcterms:modified>
</cp:coreProperties>
</file>

<file path=docProps/custom.xml><?xml version="1.0" encoding="utf-8"?>
<Properties xmlns="http://schemas.openxmlformats.org/officeDocument/2006/custom-properties" xmlns:vt="http://schemas.openxmlformats.org/officeDocument/2006/docPropsVTypes"/>
</file>