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40"/>
          <w:szCs w:val="40"/>
        </w:rPr>
        <w:t xml:space="preserve">Care Access Navigator</w:t>
      </w:r>
    </w:p>
    <w:p>
      <w:pPr>
        <w:spacing w:after="100"/>
        <w:jc w:val="center"/>
      </w:pPr>
      <w:r>
        <w:rPr>
          <w:sz w:val="20"/>
          <w:szCs w:val="20"/>
        </w:rPr>
        <w:t xml:space="preserve">Simulated Malware Incident Report | HealthLine Regional Medical Center (HRMC)</w:t>
      </w:r>
    </w:p>
    <w:p>
      <w:pPr>
        <w:pBdr>
          <w:bottom w:val="single" w:color="1F3864" w:sz="8" w:space="6"/>
        </w:pBdr>
        <w:spacing w:after="200"/>
        <w:jc w:val="center"/>
      </w:pPr>
      <w:r>
        <w:rPr>
          <w:b/>
          <w:bCs/>
          <w:sz w:val="18"/>
          <w:szCs w:val="18"/>
        </w:rPr>
        <w:t xml:space="preserve">Status: </w:t>
      </w:r>
      <w:r>
        <w:rPr>
          <w:sz w:val="18"/>
          <w:szCs w:val="18"/>
        </w:rPr>
        <w:t xml:space="preserve">SIMULATED / DRAFT — FILLED FROM VIRUSTOTAL BEHAVIOR ANALYSIS</w:t>
      </w:r>
      <w:r>
        <w:rPr>
          <w:sz w:val="18"/>
          <w:szCs w:val="18"/>
        </w:rPr>
        <w:t xml:space="preserve">   |   Course Rubric: Malware Analysis &amp; MITRE ATT&amp;CK Mapping   |   Capstone Week: Week 2 (supplemental exercise)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C468" w:sz="4"/>
              <w:left w:val="single" w:color="E8C468" w:sz="4"/>
              <w:bottom w:val="single" w:color="E8C468" w:sz="4"/>
              <w:right w:val="single" w:color="E8C468" w:sz="4"/>
            </w:tcBorders>
            <w:shd w:fill="FFF6D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 PLAIN TERMS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A workstation at HRMC was infected with AgentTesla, malware that quietly records keystrokes and steals saved passwords, then emails the stolen data to the attacker through a hijacked email-hosting service (smtp.hostinger.com). VirusTotal's sandbox runs show the infection actually arrived disguised as a PDF attachment named “Payment_Advice_pdf.scr” — the double extension (.pdf.scr) is a classic phishing trick, and it lines up with the SEToolkit phishing exercise already simulated in Part 2. All hospital details, asset IDs, and incident data below remain simulated for coursework; the sample hash, detection ratio, and technical behavior are real, drawn directly from the file's VirusTotal Behavior report.</w:t>
            </w:r>
          </w:p>
        </w:tc>
      </w:tr>
    </w:tbl>
    <w:p>
      <w:pPr>
        <w:pStyle w:val="Heading2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1. Incident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INC-W2-001 (simulated)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Date/Time Detected (simulated)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>Week 2, Day 4 — &lt;fill from your test timeline&gt;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Reporting Source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Endpoint EDR alert + SIEM correlation (simulated)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Malware Family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AgentTesla (MSIL-based keylogger / infostealer)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Hash (SHA256)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1c72369e2543722e89be3a14448d0fdc1664f4638d91d67720dddb7ff73cb736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VirusTotal Detection Ratio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34 / 70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Commodity infostealer / credential harvester</w:t>
            </w:r>
          </w:p>
        </w:tc>
      </w:tr>
    </w:tbl>
    <w:p>
      <w:pPr>
        <w:pStyle w:val="Heading2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2. Affected Asset (Simulated Mapping)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Asset ID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AST-03 (adjust to match your asset inventory)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Asset Type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Workforce endpoint (Windows workstation)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Patient Registration / Billing (adjust to fit your AST-## entry)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Sensitivity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ePHI-adjacent — endpoint has access to Billing App and shares a network segment with systems processing ePHI</w:t>
            </w:r>
          </w:p>
        </w:tc>
      </w:tr>
    </w:tbl>
    <w:p>
      <w:pPr>
        <w:pStyle w:val="Heading2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3. Malware Profile</w:t>
      </w:r>
    </w:p>
    <w:p>
      <w:pPr>
        <w:spacing w:after="160"/>
      </w:pPr>
      <w:r>
        <w:rPr>
          <w:i w:val="false"/>
          <w:iCs w:val="false"/>
          <w:sz w:val="20"/>
          <w:szCs w:val="20"/>
        </w:rPr>
        <w:t xml:space="preserve">AgentTesla is a long-running, widely distributed .NET-based infostealer/keylogger, commonly delivered via phishing attachments (macro-enabled Office documents, or malicious archive/executable attachments). The VirusTotal Relations data for this sample confirms that delivery path directly: this file's recorded “execution parent” is Payment_Advice_pdf.scr, a 34/70-detected dropper using the .pdf.scr double-extension disguise — the same phishing-to-infection chain already simulated in the Part 2 SEToolkit exercise.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Documented capabilities (publicly established behavior for this family):</w:t>
      </w:r>
    </w:p>
    <w:p>
      <w:pPr>
        <w:pStyle w:val="ListParagraph"/>
        <w:numPr>
          <w:ilvl w:val="0"/>
          <w:numId w:val="1"/>
        </w:numPr>
        <w:spacing w:after="60"/>
        <w:rPr>
          <w:sz w:val="20"/>
          <w:szCs w:val="20"/>
        </w:rPr>
      </w:pPr>
      <w:r>
        <w:t xml:space="preserve">Keystroke logging</w:t>
      </w:r>
    </w:p>
    <w:p>
      <w:pPr>
        <w:pStyle w:val="ListParagraph"/>
        <w:numPr>
          <w:ilvl w:val="0"/>
          <w:numId w:val="1"/>
        </w:numPr>
        <w:spacing w:after="60"/>
        <w:rPr>
          <w:sz w:val="20"/>
          <w:szCs w:val="20"/>
        </w:rPr>
      </w:pPr>
      <w:r>
        <w:t xml:space="preserve">Credential harvesting from browsers, email clients (Outlook), and FTP clients</w:t>
      </w:r>
    </w:p>
    <w:p>
      <w:pPr>
        <w:pStyle w:val="ListParagraph"/>
        <w:numPr>
          <w:ilvl w:val="0"/>
          <w:numId w:val="1"/>
        </w:numPr>
        <w:spacing w:after="60"/>
        <w:rPr>
          <w:sz w:val="20"/>
          <w:szCs w:val="20"/>
        </w:rPr>
      </w:pPr>
      <w:r>
        <w:t xml:space="preserve">Clipboard monitoring</w:t>
      </w:r>
    </w:p>
    <w:p>
      <w:pPr>
        <w:pStyle w:val="ListParagraph"/>
        <w:numPr>
          <w:ilvl w:val="0"/>
          <w:numId w:val="1"/>
        </w:numPr>
        <w:spacing w:after="60"/>
        <w:rPr>
          <w:sz w:val="20"/>
          <w:szCs w:val="20"/>
        </w:rPr>
      </w:pPr>
      <w:r>
        <w:t xml:space="preserve">Screenshot capture</w:t>
      </w:r>
    </w:p>
    <w:p>
      <w:pPr>
        <w:pStyle w:val="ListParagraph"/>
        <w:numPr>
          <w:ilvl w:val="0"/>
          <w:numId w:val="1"/>
        </w:numPr>
        <w:spacing w:after="60"/>
        <w:rPr>
          <w:sz w:val="20"/>
          <w:szCs w:val="20"/>
        </w:rPr>
      </w:pPr>
      <w:r>
        <w:t xml:space="preserve">Exfiltration via SMTP email, FTP, Telegram Bot API, or HTTP-based C2 panels (varies by build)</w:t>
      </w:r>
    </w:p>
    <w:p>
      <w:pPr>
        <w:pStyle w:val="Heading2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4. Technical Behavior (VirusTotal Detonation Findings)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Fields below are completed from this sample's actual VirusTotal Behavior and Relations tabs (CAPE Sandbox, C2AE, Yomi Hunter reports; retrieved 2026-09-03).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Process injection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MITRE technique Process Injection (T1055) fired 8 times across the sandboxes (highest-count technique observed). VirusTotal's free/anonymous view does not expose the exact target process (paid API access is needed for that detail), but the recorded process tree is consistent with AgentTesla's typical hollowing pattern: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software.exe → explorer.exe spawns a hidden, Base64-obfuscated PowerShell command (-NoProfile -ExecutionPolicy Bypass -WindowStyle Hidden) → drops and runs %TEMP%\GDN9PRNGVSCP4KL7.exe.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Persistence mechanism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Registry Run Keys / Startup Folder (T1060) and Modify Registry (T1112, 5 matches) were flagged. Payload copies were written to: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%APPDATA%\Roaming\ZFA.exe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Diagnostic tracing keys were also created (a byproduct of the .NET dropper GDN9PRNGVSCP4KL7.exe running), corroborating the process name above: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HKLM\SOFTWARE\Wow6432Node\Microsoft\Tracing\GDN9PRNGVSCP4KL7_RASAPI32\* and \..._RASMANCS\*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Exfiltration channel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SMTP email via smtp.hostinger.com (a legitimate mail-hosting provider abused as the exfil relay) — matches AgentTesla's built-in SMTP exfiltration capability.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Contacted C2 domain/IP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smtp.hostinger.com — exfiltration endpoint (domain registered 2002-11-23)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ip-api.com / 208.95.112.1 (AS53334) — HTTP GET to /line/?fields=hosting; a geolocation/hosting-provider lookup used for anti-VM / anti-analysis recon. Flagged by the crowdsourced Suricata/ET rules “External IP Lookup Domain” and “Common Stealer Behavior — Source IP Associated with Hosting Provider Check.”</w:t>
            </w:r>
          </w:p>
          <w:p>
            <w:r>
              <w:rPr>
                <w:sz w:val="20"/>
                <w:szCs w:val="20"/>
              </w:rPr>
              <w:t xml:space="preserve">172.65.255.143 and 2606:4700:90:0:f225:a1af:129b:4ba1 (AS13335, Cloudflare) — CDN-fronted addresses, not a distinct malicious host on their own.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Dropped files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%TEMP%\GDN9PRNGVSCP4KL7.exe, %APPDATA%\Roaming\ZFA.exe, software.exe.log</w:t>
            </w:r>
          </w:p>
          <w:p>
            <w:r>
              <w:rPr>
                <w:sz w:val="20"/>
                <w:szCs w:val="20"/>
              </w:rPr>
              <w:t xml:space="preserve">Original phishing lure (VT “execution parent”): Payment_Advice_pdf.scr — 34/70 detections</w:t>
            </w:r>
          </w:p>
        </w:tc>
      </w:tr>
    </w:tbl>
    <w:p>
      <w:pPr>
        <w:pStyle w:val="Heading2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5. Indicators of Compromise (IOCs)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SHA256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1c72369e2543722e89be3a14448d0fdc1664f4638d91d67720dddb7ff73cb736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Family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AgentTesla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Delivery filename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Payment_Advice_pdf.scr (phishing attachment, double extension)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C2 / Exfil Domain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smtp.hostinger.com (SMTP exfiltration)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Recon endpoint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ip-api.com (208.95.112.1)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Persistence artifact</w:t>
            </w:r>
          </w:p>
        </w:tc>
        <w:tc>
          <w:tcPr>
            <w:tcW w:type="dxa" w:w="6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%APPDATA%\Roaming\ZFA.exe; dropped copy %TEMP%\GDN9PRNGVSCP4KL7.exe</w:t>
            </w:r>
          </w:p>
        </w:tc>
      </w:tr>
    </w:tbl>
    <w:p>
      <w:pPr>
        <w:pStyle w:val="Heading2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6. Impact to HRMC (Simulated)</w:t>
      </w:r>
    </w:p>
    <w:p>
      <w:pPr>
        <w:spacing w:after="160"/>
      </w:pPr>
      <w:r>
        <w:rPr>
          <w:i w:val="false"/>
          <w:iCs w:val="false"/>
          <w:sz w:val="20"/>
          <w:szCs w:val="20"/>
        </w:rPr>
        <w:t xml:space="preserve">Confidentiality impact: Stolen local credentials could enable follow-on lateral movement toward systems holding ePHI, directly relevant to the project's ePHI boundary rules.</w:t>
      </w:r>
    </w:p>
    <w:p>
      <w:pPr>
        <w:spacing w:after="160"/>
      </w:pPr>
      <w:r>
        <w:rPr>
          <w:i w:val="false"/>
          <w:iCs w:val="false"/>
          <w:sz w:val="20"/>
          <w:szCs w:val="20"/>
        </w:rPr>
        <w:t xml:space="preserve">Risk register linkage: Maps to an existing endpoint-compromise entry in the risk register (R-##) if one is already defined; if not yet captured, this incident supports adding a new risk entry for “credential theft via endpoint malware.”</w:t>
      </w:r>
    </w:p>
    <w:p>
      <w:pPr>
        <w:spacing w:after="160"/>
      </w:pPr>
      <w:r>
        <w:rPr>
          <w:i w:val="false"/>
          <w:iCs w:val="false"/>
          <w:sz w:val="20"/>
          <w:szCs w:val="20"/>
        </w:rPr>
        <w:t xml:space="preserve">Control objective linkage: Ties to the control objective(s) (CO-##) covering endpoint protection/EDR, and to the IAM control set — MFA reduces the value of stolen static credentials, tying back directly to the Keycloak MFA configuration.</w:t>
      </w:r>
    </w:p>
    <w:p>
      <w:pPr>
        <w:pStyle w:val="Heading2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7. Response Actions (Simulated / Planned)</w:t>
      </w:r>
    </w:p>
    <w:p>
      <w:pPr>
        <w:pStyle w:val="ListParagraph"/>
        <w:numPr>
          <w:ilvl w:val="0"/>
          <w:numId w:val="1"/>
        </w:numPr>
        <w:spacing w:after="60"/>
        <w:rPr>
          <w:sz w:val="20"/>
          <w:szCs w:val="20"/>
        </w:rPr>
      </w:pPr>
      <w:r>
        <w:t xml:space="preserve">Isolate affected endpoint from network (VLAN 30 quarantine).</w:t>
      </w:r>
    </w:p>
    <w:p>
      <w:pPr>
        <w:pStyle w:val="ListParagraph"/>
        <w:numPr>
          <w:ilvl w:val="0"/>
          <w:numId w:val="1"/>
        </w:numPr>
        <w:spacing w:after="60"/>
        <w:rPr>
          <w:sz w:val="20"/>
          <w:szCs w:val="20"/>
        </w:rPr>
      </w:pPr>
      <w:r>
        <w:t xml:space="preserve">Force credential reset for any accounts used on that workstation, prioritizing accounts with access to ePHI systems.</w:t>
      </w:r>
    </w:p>
    <w:p>
      <w:pPr>
        <w:pStyle w:val="ListParagraph"/>
        <w:numPr>
          <w:ilvl w:val="0"/>
          <w:numId w:val="1"/>
        </w:numPr>
        <w:spacing w:after="60"/>
        <w:rPr>
          <w:sz w:val="20"/>
          <w:szCs w:val="20"/>
        </w:rPr>
      </w:pPr>
      <w:r>
        <w:t xml:space="preserve">Review SIEM logs for smtp.hostinger.com and ip-api.com traffic to check for other affected hosts.</w:t>
      </w:r>
    </w:p>
    <w:p>
      <w:pPr>
        <w:pStyle w:val="ListParagraph"/>
        <w:numPr>
          <w:ilvl w:val="0"/>
          <w:numId w:val="1"/>
        </w:numPr>
        <w:spacing w:after="60"/>
        <w:rPr>
          <w:sz w:val="20"/>
          <w:szCs w:val="20"/>
        </w:rPr>
      </w:pPr>
      <w:r>
        <w:t xml:space="preserve">Block/alert on the SHA256 hash and the Payment_Advice_pdf.scr filename pattern; submit to the threat intel feed for organizational blocklist update.</w:t>
      </w:r>
    </w:p>
    <w:p>
      <w:pPr>
        <w:pStyle w:val="ListParagraph"/>
        <w:numPr>
          <w:ilvl w:val="0"/>
          <w:numId w:val="1"/>
        </w:numPr>
        <w:spacing w:after="60"/>
        <w:rPr>
          <w:sz w:val="20"/>
          <w:szCs w:val="20"/>
        </w:rPr>
      </w:pPr>
      <w:r>
        <w:t xml:space="preserve">Hunt for %APPDATA%\Roaming\ZFA.exe and %TEMP%\GDN9PRNGVSCP4KL7.exe on other endpoints.</w:t>
      </w:r>
    </w:p>
    <w:p>
      <w:pPr>
        <w:pStyle w:val="Heading2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8. MITRE ATT&amp;CK Technique Mapping</w:t>
      </w:r>
    </w:p>
    <w:p>
      <w:pPr>
        <w:spacing w:after="160"/>
      </w:pPr>
      <w:r>
        <w:rPr>
          <w:i w:val="false"/>
          <w:iCs w:val="false"/>
          <w:sz w:val="20"/>
          <w:szCs w:val="20"/>
        </w:rPr>
        <w:t xml:space="preserve">Original preliminary mapping (unchanged) plus techniques confirmed directly by the VirusTotal sandbox runs (marked “Confirmed by VT”).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2000"/>
        <w:gridCol w:w="2880"/>
      </w:tblGrid>
      <w:tr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ATT&amp;CK ID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Phishing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T1566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Template</w:t>
            </w:r>
          </w:p>
        </w:tc>
        <w:tc>
          <w:tcPr>
            <w:tcW w:type="dxa" w:w="2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Payment_Advice_pdf.scr execution parent confirms this</w:t>
            </w:r>
          </w:p>
        </w:tc>
      </w:tr>
      <w:tr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Credentials from Password Stores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T1555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Template</w:t>
            </w:r>
          </w:p>
        </w:tc>
        <w:tc>
          <w:tcPr>
            <w:tcW w:type="dxa" w:w="2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AgentTesla core capability</w:t>
            </w:r>
          </w:p>
        </w:tc>
      </w:tr>
      <w:tr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Input Capture: Keylogging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T1056.001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Template</w:t>
            </w:r>
          </w:p>
        </w:tc>
        <w:tc>
          <w:tcPr>
            <w:tcW w:type="dxa" w:w="2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AgentTesla core capability</w:t>
            </w:r>
          </w:p>
        </w:tc>
      </w:tr>
      <w:tr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Exfiltration Over Alternative Protocol (SMTP)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T1048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Template + Confirmed by VT</w:t>
            </w:r>
          </w:p>
        </w:tc>
        <w:tc>
          <w:tcPr>
            <w:tcW w:type="dxa" w:w="2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smtp.hostinger.com observed in sandbox</w:t>
            </w:r>
          </w:p>
        </w:tc>
      </w:tr>
      <w:tr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Boot or Logon Autostart Execution / Registry Run Keys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T1547.001 / T1060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Template + Confirmed by VT</w:t>
            </w:r>
          </w:p>
        </w:tc>
        <w:tc>
          <w:tcPr>
            <w:tcW w:type="dxa" w:w="2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Modify Registry (T1112) x5; dropped copy in %APPDATA%\Roaming</w:t>
            </w:r>
          </w:p>
        </w:tc>
      </w:tr>
      <w:tr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Process Injection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T1055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Confirmed by VT</w:t>
            </w:r>
          </w:p>
        </w:tc>
        <w:tc>
          <w:tcPr>
            <w:tcW w:type="dxa" w:w="2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8 matches — highest-count technique in the report</w:t>
            </w:r>
          </w:p>
        </w:tc>
      </w:tr>
      <w:tr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Command and Scripting Interpreter: PowerShell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T1059.001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Confirmed by VT</w:t>
            </w:r>
          </w:p>
        </w:tc>
        <w:tc>
          <w:tcPr>
            <w:tcW w:type="dxa" w:w="2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Hidden, obfuscated PowerShell in process tree</w:t>
            </w:r>
          </w:p>
        </w:tc>
      </w:tr>
      <w:tr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Obfuscated Files or Information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T1027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Confirmed by VT</w:t>
            </w:r>
          </w:p>
        </w:tc>
        <w:tc>
          <w:tcPr>
            <w:tcW w:type="dxa" w:w="2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3 matches, Stealth tactic</w:t>
            </w:r>
          </w:p>
        </w:tc>
      </w:tr>
      <w:tr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Hijack Execution Flow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T1574</w:t>
            </w:r>
          </w:p>
        </w:tc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Confirmed by VT</w:t>
            </w:r>
          </w:p>
        </w:tc>
        <w:tc>
          <w:tcPr>
            <w:tcW w:type="dxa" w:w="28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Stealth + Persistence tactics</w:t>
            </w:r>
          </w:p>
        </w:tc>
      </w:tr>
    </w:tbl>
    <w:p>
      <w:pPr>
        <w:spacing w:before="160"/>
      </w:pPr>
      <w:r>
        <w:rPr>
          <w:i/>
          <w:iCs/>
          <w:sz w:val="18"/>
          <w:szCs w:val="18"/>
        </w:rPr>
        <w:t xml:space="preserve">This table feeds directly into Part 3 APT group research — cross-reference these techniques against candidate Groups' technique lists on the ATT&amp;CK Enterprise matrix to identify which documented threat actor(s) align with the observed behavior chain.</w:t>
      </w:r>
    </w:p>
    <w:p>
      <w:pPr>
        <w:pBdr>
          <w:top w:val="single" w:color="AAAAAA" w:sz="4" w:space="8"/>
        </w:pBdr>
        <w:spacing w:before="400"/>
      </w:pPr>
      <w:r>
        <w:rPr>
          <w:i/>
          <w:iCs/>
          <w:color w:val="666666"/>
          <w:sz w:val="16"/>
          <w:szCs w:val="16"/>
        </w:rPr>
        <w:t xml:space="preserve">Prepared as part of the Care Access Navigator IAM &amp; GRC Healthcare Cybersecurity Capstone. All hospital details, asset IDs, and incident data are simulated/synthetic for coursework purposes. Sample hash, detection ratio, and Section 4/5/8 technical findings are drawn from a real, publicly catalogued VirusTotal Behavior report used solely as a technical grounding point.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2026-09-03T15:47:12.479Z</dcterms:created>
  <dcterms:modified xsi:type="dcterms:W3CDTF">2026-09-03T15:47:12.493Z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