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CB91BF6">
      <w:pPr>
        <w:pStyle w:val="style0"/>
        <w:spacing w:after="80"/>
        <w:rPr/>
      </w:pPr>
      <w:r>
        <w:rPr>
          <w:rFonts w:ascii="Arial" w:hAnsi="Arial"/>
          <w:b/>
          <w:color w:val="102c57"/>
          <w:sz w:val="40"/>
        </w:rPr>
        <w:t>DUE DILIGENCE FINDINGS: GREENPOWER MOTOR COMPANY</w:t>
      </w:r>
    </w:p>
    <w:p w14:paraId="ED7F6A86">
      <w:pPr>
        <w:pStyle w:val="style0"/>
        <w:spacing w:after="400"/>
        <w:rPr/>
      </w:pPr>
      <w:r>
        <w:rPr>
          <w:rFonts w:ascii="Arial" w:hAnsi="Arial"/>
          <w:i/>
          <w:color w:val="5a6b7c"/>
          <w:sz w:val="22"/>
        </w:rPr>
        <w:t>Comprehensive Risk Matrix, Value Creation Opportunities, Working Capital Assessment, and Normalized EBITDA Adjustments</w:t>
      </w:r>
    </w:p>
    <w:p w14:paraId="961C179E">
      <w:pPr>
        <w:pStyle w:val="style0"/>
        <w:spacing w:before="280" w:after="120"/>
        <w:rPr/>
      </w:pPr>
      <w:r>
        <w:rPr>
          <w:rFonts w:ascii="Arial" w:hAnsi="Arial"/>
          <w:b/>
          <w:color w:val="102c57"/>
          <w:sz w:val="28"/>
        </w:rPr>
        <w:t>Section 1 — Comprehensive Risk Matrix</w:t>
      </w:r>
    </w:p>
    <w:p w14:paraId="5202A188">
      <w:pPr>
        <w:pStyle w:val="style0"/>
        <w:spacing w:after="200" w:lineRule="auto" w:line="276"/>
        <w:rPr/>
      </w:pPr>
      <w:r>
        <w:rPr>
          <w:rFonts w:ascii="Arial" w:hAnsi="Arial"/>
          <w:sz w:val="20"/>
        </w:rPr>
        <w:t>A rigorous review of GreenPower’s MD&amp;A disclosures and financial records reveals severe operational, financial, and market risks that threaten ongoing solvency and require active restructuring by any prospective private equity acquirer.</w:t>
      </w:r>
    </w:p>
    <w:p w14:paraId="9EEC997D">
      <w:pPr>
        <w:pStyle w:val="style0"/>
        <w:spacing w:before="120" w:after="40"/>
        <w:rPr/>
      </w:pPr>
      <w:r>
        <w:rPr>
          <w:rFonts w:ascii="Arial" w:hAnsi="Arial"/>
          <w:b/>
          <w:color w:val="102c57"/>
          <w:sz w:val="20"/>
        </w:rPr>
        <w:t>• Operational Risks:</w:t>
      </w:r>
    </w:p>
    <w:p w14:paraId="34ACD22E">
      <w:pPr>
        <w:pStyle w:val="style48"/>
        <w:spacing w:after="40" w:lineRule="auto" w:line="276"/>
        <w:rPr/>
      </w:pPr>
      <w:r>
        <w:rPr>
          <w:rFonts w:ascii="Arial" w:hAnsi="Arial"/>
          <w:color w:val="323232"/>
          <w:sz w:val="19"/>
        </w:rPr>
        <w:t>Manufacturing Below Capacity: Production facilities (particularly West Virginia and California) operate well below optimal scale, generating heavy fixed overhead absorption losses.</w:t>
      </w:r>
    </w:p>
    <w:p w14:paraId="5B1D48C5">
      <w:pPr>
        <w:pStyle w:val="style48"/>
        <w:spacing w:after="40" w:lineRule="auto" w:line="276"/>
        <w:rPr/>
      </w:pPr>
      <w:r>
        <w:rPr>
          <w:rFonts w:ascii="Arial" w:hAnsi="Arial"/>
          <w:color w:val="323232"/>
          <w:sz w:val="19"/>
        </w:rPr>
        <w:t>Tariff &amp; Supply Chain Exposure: Vulnerability to imported component tariffs (battery cells and chassis parts) impacting gross margins.</w:t>
      </w:r>
    </w:p>
    <w:p w14:paraId="2715D009">
      <w:pPr>
        <w:pStyle w:val="style48"/>
        <w:spacing w:after="40" w:lineRule="auto" w:line="276"/>
        <w:rPr/>
      </w:pPr>
      <w:r>
        <w:rPr>
          <w:rFonts w:ascii="Arial" w:hAnsi="Arial"/>
          <w:color w:val="323232"/>
          <w:sz w:val="19"/>
        </w:rPr>
        <w:t>Customer Concentration: Substantial reliance on key partnerships and fleet customers, notably Workhorse, exposing revenue to single-partner volatility.</w:t>
      </w:r>
    </w:p>
    <w:p w14:paraId="2D470899">
      <w:pPr>
        <w:pStyle w:val="style0"/>
        <w:spacing w:before="120" w:after="40"/>
        <w:rPr/>
      </w:pPr>
      <w:r>
        <w:rPr>
          <w:rFonts w:ascii="Arial" w:hAnsi="Arial"/>
          <w:b/>
          <w:color w:val="102c57"/>
          <w:sz w:val="20"/>
        </w:rPr>
        <w:t>• Financial Risks:</w:t>
      </w:r>
    </w:p>
    <w:p w14:paraId="5A196198">
      <w:pPr>
        <w:pStyle w:val="style48"/>
        <w:spacing w:after="40" w:lineRule="auto" w:line="276"/>
        <w:rPr/>
      </w:pPr>
      <w:r>
        <w:rPr>
          <w:rFonts w:ascii="Arial" w:hAnsi="Arial"/>
          <w:color w:val="323232"/>
          <w:sz w:val="19"/>
        </w:rPr>
        <w:t>Going-Concern Warnings: Independent auditors express substantial doubt regarding the company's ability to continue as a going concern due to recurring operating losses and cash burn.</w:t>
      </w:r>
    </w:p>
    <w:p w14:paraId="E7974A9E">
      <w:pPr>
        <w:pStyle w:val="style48"/>
        <w:spacing w:after="40" w:lineRule="auto" w:line="276"/>
        <w:rPr/>
      </w:pPr>
      <w:r>
        <w:rPr>
          <w:rFonts w:ascii="Arial" w:hAnsi="Arial"/>
          <w:color w:val="323232"/>
          <w:sz w:val="19"/>
        </w:rPr>
        <w:t>Negative Shareholders' Equity: Cumulative historical deficits have wiped out book equity, resulting in deeply negative equity balances.</w:t>
      </w:r>
    </w:p>
    <w:p w14:paraId="74BE44A3">
      <w:pPr>
        <w:pStyle w:val="style48"/>
        <w:spacing w:after="40" w:lineRule="auto" w:line="276"/>
        <w:rPr/>
      </w:pPr>
      <w:r>
        <w:rPr>
          <w:rFonts w:ascii="Arial" w:hAnsi="Arial"/>
          <w:color w:val="323232"/>
          <w:sz w:val="19"/>
        </w:rPr>
        <w:t>Related-Party Debt Dependency: Heavy reliance on high-cost debt facilities and related-party loans (~$19.9M total debt) carrying restrictive terms and high interest.</w:t>
      </w:r>
    </w:p>
    <w:p w14:paraId="FB859308">
      <w:pPr>
        <w:pStyle w:val="style48"/>
        <w:spacing w:after="40" w:lineRule="auto" w:line="276"/>
        <w:rPr/>
      </w:pPr>
      <w:r>
        <w:rPr>
          <w:rFonts w:ascii="Arial" w:hAnsi="Arial"/>
          <w:color w:val="323232"/>
          <w:sz w:val="19"/>
        </w:rPr>
        <w:t>Material Weaknesses in Internal Controls: Disclosed deficiencies in internal financial reporting controls regarding inventory costing and revenue recognition.</w:t>
      </w:r>
    </w:p>
    <w:p w14:paraId="DEC5E90A">
      <w:pPr>
        <w:pStyle w:val="style0"/>
        <w:spacing w:before="120" w:after="40"/>
        <w:rPr/>
      </w:pPr>
      <w:r>
        <w:rPr>
          <w:rFonts w:ascii="Arial" w:hAnsi="Arial"/>
          <w:b/>
          <w:color w:val="102c57"/>
          <w:sz w:val="20"/>
        </w:rPr>
        <w:t>• Market Risks:</w:t>
      </w:r>
    </w:p>
    <w:p w14:paraId="57AAE6DB">
      <w:pPr>
        <w:pStyle w:val="style48"/>
        <w:spacing w:after="40" w:lineRule="auto" w:line="276"/>
        <w:rPr/>
      </w:pPr>
      <w:r>
        <w:rPr>
          <w:rFonts w:ascii="Arial" w:hAnsi="Arial"/>
          <w:color w:val="323232"/>
          <w:sz w:val="19"/>
        </w:rPr>
        <w:t>Intense EV Sector Competition: Pressure from well-capitalized commercial electric vehicle manufacturers driving down average selling prices.</w:t>
      </w:r>
    </w:p>
    <w:p w14:paraId="FCCAC1E9">
      <w:pPr>
        <w:pStyle w:val="style48"/>
        <w:spacing w:after="40" w:lineRule="auto" w:line="276"/>
        <w:rPr/>
      </w:pPr>
      <w:r>
        <w:rPr>
          <w:rFonts w:ascii="Arial" w:hAnsi="Arial"/>
          <w:color w:val="323232"/>
          <w:sz w:val="19"/>
        </w:rPr>
        <w:t>Government Subsidy &amp; Incentive Dependency: Reliance on municipal and state EV purchase vouchers (HVIP, NJZIP, iMHZEV); changes in policy directly impact demand.</w:t>
      </w:r>
    </w:p>
    <w:p w14:paraId="21AABFF7">
      <w:pPr>
        <w:pStyle w:val="style48"/>
        <w:spacing w:after="40" w:lineRule="auto" w:line="276"/>
        <w:rPr/>
      </w:pPr>
      <w:r>
        <w:rPr>
          <w:rFonts w:ascii="Arial" w:hAnsi="Arial"/>
          <w:color w:val="323232"/>
          <w:sz w:val="19"/>
        </w:rPr>
        <w:t>Foreign Exchange Exposure: Currency fluctuations between CAD and USD affecting cross-border manufacturing and procurement costs.</w:t>
      </w:r>
    </w:p>
    <w:p w14:paraId="90E4D948">
      <w:pPr>
        <w:pStyle w:val="style0"/>
        <w:spacing w:before="320" w:after="120"/>
        <w:rPr/>
      </w:pPr>
      <w:r>
        <w:rPr>
          <w:rFonts w:ascii="Arial" w:hAnsi="Arial"/>
          <w:b/>
          <w:color w:val="102c57"/>
          <w:sz w:val="28"/>
        </w:rPr>
        <w:t>Section 2 — Value Creation Opportunities</w:t>
      </w:r>
    </w:p>
    <w:p w14:paraId="989F56A1">
      <w:pPr>
        <w:pStyle w:val="style0"/>
        <w:spacing w:after="200" w:lineRule="auto" w:line="276"/>
        <w:rPr/>
      </w:pPr>
      <w:r>
        <w:rPr>
          <w:rFonts w:ascii="Arial" w:hAnsi="Arial"/>
          <w:sz w:val="20"/>
        </w:rPr>
        <w:t>Despite significant distress, a disciplined private equity acquirer can unlock substantial enterprise value through four primary operational levers:</w:t>
      </w:r>
    </w:p>
    <w:p w14:paraId="22415DA7">
      <w:pPr>
        <w:pStyle w:val="style48"/>
        <w:spacing w:after="80" w:lineRule="auto" w:line="276"/>
        <w:rPr/>
      </w:pPr>
      <w:r>
        <w:rPr>
          <w:rFonts w:ascii="Arial" w:hAnsi="Arial"/>
          <w:b/>
          <w:color w:val="102c57"/>
          <w:sz w:val="19"/>
        </w:rPr>
        <w:t xml:space="preserve">SG&amp;A Cost Rationalization &amp; Facility Consolidation: </w:t>
      </w:r>
      <w:r>
        <w:rPr>
          <w:rFonts w:ascii="Arial" w:hAnsi="Arial"/>
          <w:color w:val="323232"/>
          <w:sz w:val="19"/>
        </w:rPr>
        <w:t>Leveraging the California facility consolidation already underway to slash bloated administrative overhead, corporate SG&amp;A, and redundant operational expenses.</w:t>
      </w:r>
    </w:p>
    <w:p w14:paraId="1BE5F459">
      <w:pPr>
        <w:pStyle w:val="style48"/>
        <w:spacing w:after="80" w:lineRule="auto" w:line="276"/>
        <w:rPr/>
      </w:pPr>
      <w:r>
        <w:rPr>
          <w:rFonts w:ascii="Arial" w:hAnsi="Arial"/>
          <w:b/>
          <w:color w:val="102c57"/>
          <w:sz w:val="19"/>
        </w:rPr>
        <w:t xml:space="preserve">Manufacturing Scale Optimization at West Virginia: </w:t>
      </w:r>
      <w:r>
        <w:rPr>
          <w:rFonts w:ascii="Arial" w:hAnsi="Arial"/>
          <w:color w:val="323232"/>
          <w:sz w:val="19"/>
        </w:rPr>
        <w:t>Ramping production throughput at the West Virginia plant to achieve economies of scale, absorb fixed manufacturing overhead, and expand compressed gross margins.</w:t>
      </w:r>
    </w:p>
    <w:p w14:paraId="E04541BC">
      <w:pPr>
        <w:pStyle w:val="style48"/>
        <w:spacing w:after="80" w:lineRule="auto" w:line="276"/>
        <w:rPr/>
      </w:pPr>
      <w:r>
        <w:rPr>
          <w:rFonts w:ascii="Arial" w:hAnsi="Arial"/>
          <w:b/>
          <w:color w:val="102c57"/>
          <w:sz w:val="19"/>
        </w:rPr>
        <w:t xml:space="preserve">Product Mix Shift Toward High-Margin School Buses: </w:t>
      </w:r>
      <w:r>
        <w:rPr>
          <w:rFonts w:ascii="Arial" w:hAnsi="Arial"/>
          <w:color w:val="323232"/>
          <w:sz w:val="19"/>
        </w:rPr>
        <w:t>Accelerating commercial deliveries of purpose-built electric school buses (BEAST and Nano BEAST), which command superior price points and strong secular tailwinds.</w:t>
      </w:r>
    </w:p>
    <w:p w14:paraId="92D2D4AF">
      <w:pPr>
        <w:pStyle w:val="style48"/>
        <w:spacing w:after="80" w:lineRule="auto" w:line="276"/>
        <w:rPr/>
      </w:pPr>
      <w:r>
        <w:rPr>
          <w:rFonts w:ascii="Arial" w:hAnsi="Arial"/>
          <w:b/>
          <w:color w:val="102c57"/>
          <w:sz w:val="19"/>
        </w:rPr>
        <w:t xml:space="preserve">Government Subsidy &amp; Voucher Capture: </w:t>
      </w:r>
      <w:r>
        <w:rPr>
          <w:rFonts w:ascii="Arial" w:hAnsi="Arial"/>
          <w:color w:val="323232"/>
          <w:sz w:val="19"/>
        </w:rPr>
        <w:t>Systematically maximizing customer access to federal, state, and provincial incentive programs (such as HVIP, NJZIP, and iMHZEV) to drive sales volume without sacrificing unit margins.</w:t>
      </w:r>
    </w:p>
    <w:p w14:paraId="9981554D">
      <w:pPr>
        <w:pStyle w:val="style0"/>
        <w:spacing w:before="320" w:after="120"/>
        <w:rPr/>
      </w:pPr>
      <w:r>
        <w:rPr>
          <w:rFonts w:ascii="Arial" w:hAnsi="Arial"/>
          <w:b/>
          <w:color w:val="102c57"/>
          <w:sz w:val="28"/>
        </w:rPr>
        <w:t>Section 3 — Working Capital Analysis</w:t>
      </w:r>
    </w:p>
    <w:p w14:paraId="B6ABA6EE">
      <w:pPr>
        <w:pStyle w:val="style0"/>
        <w:spacing w:after="200" w:lineRule="auto" w:line="276"/>
        <w:rPr/>
      </w:pPr>
      <w:r>
        <w:rPr>
          <w:rFonts w:ascii="Arial" w:hAnsi="Arial"/>
          <w:sz w:val="20"/>
        </w:rPr>
        <w:t>GreenPower's working capital structure is severely distorted, characterized by massive inventory accumulation relative to top-line revenue:</w:t>
      </w:r>
      <w:r>
        <w:rPr>
          <w:rFonts w:ascii="Arial" w:hAnsi="Arial"/>
          <w:sz w:val="20"/>
        </w:rPr>
        <w:br/>
      </w:r>
      <w:r>
        <w:rPr>
          <w:rFonts w:ascii="Arial" w:hAnsi="Arial"/>
          <w:sz w:val="20"/>
        </w:rPr>
        <w:t>• Inventory vs. Revenue Burden: Inventory stands at $25.60M against FY 2025 revenue of $19.85M, representing an extraordinary 129.00% inventory-to-revenue ratio.</w:t>
      </w:r>
      <w:r>
        <w:rPr>
          <w:rFonts w:ascii="Arial" w:hAnsi="Arial"/>
          <w:sz w:val="20"/>
        </w:rPr>
        <w:br/>
      </w:r>
      <w:r>
        <w:rPr>
          <w:rFonts w:ascii="Arial" w:hAnsi="Arial"/>
          <w:sz w:val="20"/>
        </w:rPr>
        <w:t>• Inventory Days Calculation: Based on FY 2025 COGS (~$17.65M), inventory days outstanding exceed 529 days (approx. 1.45 years of inventory on hand), signaling severe stock obsolescence, sluggish production turnover, and trapped working capital.</w:t>
      </w:r>
      <w:r>
        <w:rPr>
          <w:rFonts w:ascii="Arial" w:hAnsi="Arial"/>
          <w:sz w:val="20"/>
        </w:rPr>
        <w:br/>
      </w:r>
      <w:r>
        <w:rPr>
          <w:rFonts w:ascii="Arial" w:hAnsi="Arial"/>
          <w:sz w:val="20"/>
        </w:rPr>
        <w:t>• Deferred Revenue Support: The company maintains a notable deferred revenue balance of approximately $10.1M, providing some near-term customer cash inflow support, though offset by delivery obligations.</w:t>
      </w:r>
      <w:r>
        <w:rPr>
          <w:rFonts w:ascii="Arial" w:hAnsi="Arial"/>
          <w:sz w:val="20"/>
        </w:rPr>
        <w:br/>
      </w:r>
      <w:r>
        <w:rPr>
          <w:rFonts w:ascii="Arial" w:hAnsi="Arial"/>
          <w:sz w:val="20"/>
        </w:rPr>
        <w:t>• Accounts Payable Trends: Accounts payable and accrued liabilities remain elevated as management stretches supplier payment terms to preserve dwindling cash reserves.</w:t>
      </w:r>
    </w:p>
    <w:p w14:paraId="4A6795B2">
      <w:pPr>
        <w:pStyle w:val="style0"/>
        <w:spacing w:before="320" w:after="120"/>
        <w:rPr/>
      </w:pPr>
      <w:r>
        <w:rPr>
          <w:rFonts w:ascii="Arial" w:hAnsi="Arial"/>
          <w:b/>
          <w:color w:val="102c57"/>
          <w:sz w:val="28"/>
        </w:rPr>
        <w:t>Section 4 — Normalized EBITDA Adjustments</w:t>
      </w:r>
    </w:p>
    <w:p w14:paraId="03B56661">
      <w:pPr>
        <w:pStyle w:val="style0"/>
        <w:spacing w:after="200" w:lineRule="auto" w:line="276"/>
        <w:rPr/>
      </w:pPr>
      <w:r>
        <w:rPr>
          <w:rFonts w:ascii="Arial" w:hAnsi="Arial"/>
          <w:sz w:val="20"/>
        </w:rPr>
        <w:t>To establish a clean baseline of core operating profitability, reported earnings are adjusted for non-cash expenses, non-recurring items, and non-operating gains/losses. Below is the quantification of normalized EBITDA: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2160"/>
        <w:gridCol w:w="4032"/>
      </w:tblGrid>
      <w:tr w14:paraId="4AD15329">
        <w:trPr>
          <w:jc w:val="center"/>
        </w:trPr>
        <w:tc>
          <w:tcPr>
            <w:tcW w:w="3168" w:type="dxa"/>
            <w:tcBorders/>
            <w:shd w:val="nil" w:color="auto" w:fill="102c5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F4674F7C">
            <w:pPr>
              <w:pStyle w:val="style0"/>
              <w:jc w:val="left"/>
              <w:rPr/>
            </w:pPr>
            <w:r>
              <w:rPr>
                <w:rFonts w:ascii="Arial" w:hAnsi="Arial"/>
                <w:b/>
                <w:color w:val="ffffff"/>
                <w:sz w:val="18"/>
              </w:rPr>
              <w:t>Adjustment Item</w:t>
            </w:r>
          </w:p>
        </w:tc>
        <w:tc>
          <w:tcPr>
            <w:tcW w:w="2160" w:type="dxa"/>
            <w:tcBorders/>
            <w:shd w:val="nil" w:color="auto" w:fill="102c5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F98A3DA0">
            <w:pPr>
              <w:pStyle w:val="style0"/>
              <w:jc w:val="right"/>
              <w:rPr/>
            </w:pPr>
            <w:r>
              <w:rPr>
                <w:rFonts w:ascii="Arial" w:hAnsi="Arial"/>
                <w:b/>
                <w:color w:val="ffffff"/>
                <w:sz w:val="18"/>
              </w:rPr>
              <w:t>Amount ($ in thousands)</w:t>
            </w:r>
          </w:p>
        </w:tc>
        <w:tc>
          <w:tcPr>
            <w:tcW w:w="4032" w:type="dxa"/>
            <w:tcBorders/>
            <w:shd w:val="nil" w:color="auto" w:fill="102c5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E931305D">
            <w:pPr>
              <w:pStyle w:val="style0"/>
              <w:jc w:val="left"/>
              <w:rPr/>
            </w:pPr>
            <w:r>
              <w:rPr>
                <w:rFonts w:ascii="Arial" w:hAnsi="Arial"/>
                <w:b/>
                <w:color w:val="ffffff"/>
                <w:sz w:val="18"/>
              </w:rPr>
              <w:t>Nature / Rationale</w:t>
            </w:r>
          </w:p>
        </w:tc>
      </w:tr>
      <w:tr w14:paraId="4B57FC69">
        <w:tblPrEx/>
        <w:trPr>
          <w:jc w:val="center"/>
        </w:trPr>
        <w:tc>
          <w:tcPr>
            <w:tcW w:w="3168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BBAEE">
            <w:pPr>
              <w:pStyle w:val="style0"/>
              <w:jc w:val="left"/>
              <w:rPr/>
            </w:pPr>
            <w:r>
              <w:rPr>
                <w:rFonts w:ascii="Arial" w:hAnsi="Arial"/>
                <w:color w:val="1e1e1e"/>
                <w:sz w:val="18"/>
              </w:rPr>
              <w:t>Reported Operating Loss (EBIT)</w:t>
            </w:r>
          </w:p>
        </w:tc>
        <w:tc>
          <w:tcPr>
            <w:tcW w:w="2160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0566E">
            <w:pPr>
              <w:pStyle w:val="style0"/>
              <w:jc w:val="right"/>
              <w:rPr/>
            </w:pPr>
            <w:r>
              <w:rPr>
                <w:rFonts w:ascii="Arial" w:hAnsi="Arial"/>
                <w:color w:val="1e1e1e"/>
                <w:sz w:val="18"/>
              </w:rPr>
              <w:t>-$17,920</w:t>
            </w:r>
          </w:p>
        </w:tc>
        <w:tc>
          <w:tcPr>
            <w:tcW w:w="4032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6B084">
            <w:pPr>
              <w:pStyle w:val="style0"/>
              <w:jc w:val="left"/>
              <w:rPr/>
            </w:pPr>
            <w:r>
              <w:rPr>
                <w:rFonts w:ascii="Arial" w:hAnsi="Arial"/>
                <w:color w:val="1e1e1e"/>
                <w:sz w:val="18"/>
              </w:rPr>
              <w:t>Reported operating loss for FY 2025</w:t>
            </w:r>
          </w:p>
        </w:tc>
      </w:tr>
      <w:tr w14:paraId="20325B41">
        <w:tblPrEx/>
        <w:trPr>
          <w:jc w:val="center"/>
        </w:trPr>
        <w:tc>
          <w:tcPr>
            <w:tcW w:w="3168" w:type="dxa"/>
            <w:tcBorders/>
            <w:shd w:val="nil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605AC">
            <w:pPr>
              <w:pStyle w:val="style0"/>
              <w:jc w:val="left"/>
              <w:rPr/>
            </w:pPr>
            <w:r>
              <w:rPr>
                <w:rFonts w:ascii="Arial" w:hAnsi="Arial"/>
                <w:color w:val="1e1e1e"/>
                <w:sz w:val="18"/>
              </w:rPr>
              <w:t>(+) Depreciation &amp; Amortization</w:t>
            </w:r>
          </w:p>
        </w:tc>
        <w:tc>
          <w:tcPr>
            <w:tcW w:w="2160" w:type="dxa"/>
            <w:tcBorders/>
            <w:shd w:val="nil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A6133">
            <w:pPr>
              <w:pStyle w:val="style0"/>
              <w:jc w:val="right"/>
              <w:rPr/>
            </w:pPr>
            <w:r>
              <w:rPr>
                <w:rFonts w:ascii="Arial" w:hAnsi="Arial"/>
                <w:color w:val="1e1e1e"/>
                <w:sz w:val="18"/>
              </w:rPr>
              <w:t>+$1,662</w:t>
            </w:r>
          </w:p>
        </w:tc>
        <w:tc>
          <w:tcPr>
            <w:tcW w:w="4032" w:type="dxa"/>
            <w:tcBorders/>
            <w:shd w:val="nil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FD88A564">
            <w:pPr>
              <w:pStyle w:val="style0"/>
              <w:jc w:val="left"/>
              <w:rPr/>
            </w:pPr>
            <w:r>
              <w:rPr>
                <w:rFonts w:ascii="Arial" w:hAnsi="Arial"/>
                <w:color w:val="1e1e1e"/>
                <w:sz w:val="18"/>
              </w:rPr>
              <w:t>Non-cash D&amp;A added back</w:t>
            </w:r>
          </w:p>
        </w:tc>
      </w:tr>
      <w:tr w14:paraId="CB1E8EC2">
        <w:tblPrEx/>
        <w:trPr>
          <w:jc w:val="center"/>
        </w:trPr>
        <w:tc>
          <w:tcPr>
            <w:tcW w:w="3168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FA265A83">
            <w:pPr>
              <w:pStyle w:val="style0"/>
              <w:jc w:val="left"/>
              <w:rPr/>
            </w:pPr>
            <w:r>
              <w:rPr>
                <w:rFonts w:ascii="Arial" w:hAnsi="Arial"/>
                <w:color w:val="1e1e1e"/>
                <w:sz w:val="18"/>
              </w:rPr>
              <w:t>(+) Share-Based Payments</w:t>
            </w:r>
          </w:p>
        </w:tc>
        <w:tc>
          <w:tcPr>
            <w:tcW w:w="2160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0D700">
            <w:pPr>
              <w:pStyle w:val="style0"/>
              <w:jc w:val="right"/>
              <w:rPr/>
            </w:pPr>
            <w:r>
              <w:rPr>
                <w:rFonts w:ascii="Arial" w:hAnsi="Arial"/>
                <w:color w:val="1e1e1e"/>
                <w:sz w:val="18"/>
              </w:rPr>
              <w:t>+$897</w:t>
            </w:r>
          </w:p>
        </w:tc>
        <w:tc>
          <w:tcPr>
            <w:tcW w:w="4032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EF47B7D5">
            <w:pPr>
              <w:pStyle w:val="style0"/>
              <w:jc w:val="left"/>
              <w:rPr/>
            </w:pPr>
            <w:r>
              <w:rPr>
                <w:rFonts w:ascii="Arial" w:hAnsi="Arial"/>
                <w:color w:val="1e1e1e"/>
                <w:sz w:val="18"/>
              </w:rPr>
              <w:t>Non-cash equity compensation expense</w:t>
            </w:r>
          </w:p>
        </w:tc>
      </w:tr>
      <w:tr w14:paraId="E12E5BC2">
        <w:tblPrEx/>
        <w:trPr>
          <w:jc w:val="center"/>
        </w:trPr>
        <w:tc>
          <w:tcPr>
            <w:tcW w:w="3168" w:type="dxa"/>
            <w:tcBorders/>
            <w:shd w:val="nil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ECF37">
            <w:pPr>
              <w:pStyle w:val="style0"/>
              <w:jc w:val="left"/>
              <w:rPr/>
            </w:pPr>
            <w:r>
              <w:rPr>
                <w:rFonts w:ascii="Arial" w:hAnsi="Arial"/>
                <w:color w:val="1e1e1e"/>
                <w:sz w:val="18"/>
              </w:rPr>
              <w:t>(+) Inventory Write-Downs</w:t>
            </w:r>
          </w:p>
        </w:tc>
        <w:tc>
          <w:tcPr>
            <w:tcW w:w="2160" w:type="dxa"/>
            <w:tcBorders/>
            <w:shd w:val="nil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C9A69446">
            <w:pPr>
              <w:pStyle w:val="style0"/>
              <w:jc w:val="right"/>
              <w:rPr/>
            </w:pPr>
            <w:r>
              <w:rPr>
                <w:rFonts w:ascii="Arial" w:hAnsi="Arial"/>
                <w:color w:val="1e1e1e"/>
                <w:sz w:val="18"/>
              </w:rPr>
              <w:t>+$531</w:t>
            </w:r>
          </w:p>
        </w:tc>
        <w:tc>
          <w:tcPr>
            <w:tcW w:w="4032" w:type="dxa"/>
            <w:tcBorders/>
            <w:shd w:val="nil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8CFEF0D8">
            <w:pPr>
              <w:pStyle w:val="style0"/>
              <w:jc w:val="left"/>
              <w:rPr/>
            </w:pPr>
            <w:r>
              <w:rPr>
                <w:rFonts w:ascii="Arial" w:hAnsi="Arial"/>
                <w:color w:val="1e1e1e"/>
                <w:sz w:val="18"/>
              </w:rPr>
              <w:t>Non-recurring inventory impairment in COGS</w:t>
            </w:r>
          </w:p>
        </w:tc>
      </w:tr>
      <w:tr w14:paraId="3B289EAA">
        <w:tblPrEx/>
        <w:trPr>
          <w:jc w:val="center"/>
        </w:trPr>
        <w:tc>
          <w:tcPr>
            <w:tcW w:w="3168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ED2F0722">
            <w:pPr>
              <w:pStyle w:val="style0"/>
              <w:jc w:val="left"/>
              <w:rPr/>
            </w:pPr>
            <w:r>
              <w:rPr>
                <w:rFonts w:ascii="Arial" w:hAnsi="Arial"/>
                <w:color w:val="1e1e1e"/>
                <w:sz w:val="18"/>
              </w:rPr>
              <w:t>(-) Other Income (Liability Derecognition)</w:t>
            </w:r>
          </w:p>
        </w:tc>
        <w:tc>
          <w:tcPr>
            <w:tcW w:w="2160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FFE6C411">
            <w:pPr>
              <w:pStyle w:val="style0"/>
              <w:jc w:val="right"/>
              <w:rPr/>
            </w:pPr>
            <w:r>
              <w:rPr>
                <w:rFonts w:ascii="Arial" w:hAnsi="Arial"/>
                <w:color w:val="1e1e1e"/>
                <w:sz w:val="18"/>
              </w:rPr>
              <w:t>-$1,392</w:t>
            </w:r>
          </w:p>
        </w:tc>
        <w:tc>
          <w:tcPr>
            <w:tcW w:w="4032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F3930C63">
            <w:pPr>
              <w:pStyle w:val="style0"/>
              <w:jc w:val="left"/>
              <w:rPr/>
            </w:pPr>
            <w:r>
              <w:rPr>
                <w:rFonts w:ascii="Arial" w:hAnsi="Arial"/>
                <w:color w:val="1e1e1e"/>
                <w:sz w:val="18"/>
              </w:rPr>
              <w:t>Non-recurring non-operating gain</w:t>
            </w:r>
          </w:p>
        </w:tc>
      </w:tr>
      <w:tr w14:paraId="70792305">
        <w:tblPrEx/>
        <w:trPr>
          <w:jc w:val="center"/>
        </w:trPr>
        <w:tc>
          <w:tcPr>
            <w:tcW w:w="3168" w:type="dxa"/>
            <w:tcBorders/>
            <w:shd w:val="nil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59890C">
            <w:pPr>
              <w:pStyle w:val="style0"/>
              <w:jc w:val="left"/>
              <w:rPr/>
            </w:pPr>
            <w:r>
              <w:rPr>
                <w:rFonts w:ascii="Arial" w:hAnsi="Arial"/>
                <w:color w:val="1e1e1e"/>
                <w:sz w:val="18"/>
              </w:rPr>
              <w:t>(-) Allowance for Credit Losses Recovery</w:t>
            </w:r>
          </w:p>
        </w:tc>
        <w:tc>
          <w:tcPr>
            <w:tcW w:w="2160" w:type="dxa"/>
            <w:tcBorders/>
            <w:shd w:val="nil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523F9">
            <w:pPr>
              <w:pStyle w:val="style0"/>
              <w:jc w:val="right"/>
              <w:rPr/>
            </w:pPr>
            <w:r>
              <w:rPr>
                <w:rFonts w:ascii="Arial" w:hAnsi="Arial"/>
                <w:color w:val="1e1e1e"/>
                <w:sz w:val="18"/>
              </w:rPr>
              <w:t>-$45</w:t>
            </w:r>
          </w:p>
        </w:tc>
        <w:tc>
          <w:tcPr>
            <w:tcW w:w="4032" w:type="dxa"/>
            <w:tcBorders/>
            <w:shd w:val="nil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6E0FC">
            <w:pPr>
              <w:pStyle w:val="style0"/>
              <w:jc w:val="left"/>
              <w:rPr/>
            </w:pPr>
            <w:r>
              <w:rPr>
                <w:rFonts w:ascii="Arial" w:hAnsi="Arial"/>
                <w:color w:val="1e1e1e"/>
                <w:sz w:val="18"/>
              </w:rPr>
              <w:t>Non-operating bad debt recovery</w:t>
            </w:r>
          </w:p>
        </w:tc>
      </w:tr>
      <w:tr w14:paraId="46CEC2AF">
        <w:tblPrEx/>
        <w:trPr>
          <w:jc w:val="center"/>
        </w:trPr>
        <w:tc>
          <w:tcPr>
            <w:tcW w:w="3168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BFCD5">
            <w:pPr>
              <w:pStyle w:val="style0"/>
              <w:jc w:val="left"/>
              <w:rPr/>
            </w:pPr>
            <w:r>
              <w:rPr>
                <w:rFonts w:ascii="Arial" w:hAnsi="Arial"/>
                <w:color w:val="1e1e1e"/>
                <w:sz w:val="18"/>
              </w:rPr>
              <w:t>(+) Foreign Exchange Loss</w:t>
            </w:r>
          </w:p>
        </w:tc>
        <w:tc>
          <w:tcPr>
            <w:tcW w:w="2160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F65976">
            <w:pPr>
              <w:pStyle w:val="style0"/>
              <w:jc w:val="right"/>
              <w:rPr/>
            </w:pPr>
            <w:r>
              <w:rPr>
                <w:rFonts w:ascii="Arial" w:hAnsi="Arial"/>
                <w:color w:val="1e1e1e"/>
                <w:sz w:val="18"/>
              </w:rPr>
              <w:t>+$41</w:t>
            </w:r>
          </w:p>
        </w:tc>
        <w:tc>
          <w:tcPr>
            <w:tcW w:w="4032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F8D0F40A">
            <w:pPr>
              <w:pStyle w:val="style0"/>
              <w:jc w:val="left"/>
              <w:rPr/>
            </w:pPr>
            <w:r>
              <w:rPr>
                <w:rFonts w:ascii="Arial" w:hAnsi="Arial"/>
                <w:color w:val="1e1e1e"/>
                <w:sz w:val="18"/>
              </w:rPr>
              <w:t>Non-operating FX loss</w:t>
            </w:r>
          </w:p>
        </w:tc>
      </w:tr>
      <w:tr w14:paraId="B7FF4216">
        <w:tblPrEx/>
        <w:trPr>
          <w:jc w:val="center"/>
        </w:trPr>
        <w:tc>
          <w:tcPr>
            <w:tcW w:w="3168" w:type="dxa"/>
            <w:tcBorders/>
            <w:shd w:val="nil" w:color="auto" w:fill="eaef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A4CA3">
            <w:pPr>
              <w:pStyle w:val="style0"/>
              <w:jc w:val="left"/>
              <w:rPr/>
            </w:pPr>
            <w:r>
              <w:rPr>
                <w:rFonts w:ascii="Arial" w:hAnsi="Arial"/>
                <w:b/>
                <w:color w:val="102c57"/>
                <w:sz w:val="18"/>
              </w:rPr>
              <w:t>Normalized EBITDA</w:t>
            </w:r>
          </w:p>
        </w:tc>
        <w:tc>
          <w:tcPr>
            <w:tcW w:w="2160" w:type="dxa"/>
            <w:tcBorders/>
            <w:shd w:val="nil" w:color="auto" w:fill="eaef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A05F0">
            <w:pPr>
              <w:pStyle w:val="style0"/>
              <w:jc w:val="right"/>
              <w:rPr/>
            </w:pPr>
            <w:r>
              <w:rPr>
                <w:rFonts w:ascii="Arial" w:hAnsi="Arial"/>
                <w:b/>
                <w:color w:val="102c57"/>
                <w:sz w:val="18"/>
              </w:rPr>
              <w:t>-$16,326</w:t>
            </w:r>
          </w:p>
        </w:tc>
        <w:tc>
          <w:tcPr>
            <w:tcW w:w="4032" w:type="dxa"/>
            <w:tcBorders/>
            <w:shd w:val="nil" w:color="auto" w:fill="eaeff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0A7F1">
            <w:pPr>
              <w:pStyle w:val="style0"/>
              <w:jc w:val="left"/>
              <w:rPr/>
            </w:pPr>
            <w:r>
              <w:rPr>
                <w:rFonts w:ascii="Arial" w:hAnsi="Arial"/>
                <w:b/>
                <w:color w:val="102c57"/>
                <w:sz w:val="18"/>
              </w:rPr>
              <w:t>Adjusted core operational cash flow proxy</w:t>
            </w:r>
          </w:p>
        </w:tc>
      </w:tr>
    </w:tbl>
    <w:p w14:paraId="6BB42C65">
      <w:pPr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6ac4784a-5052-4ae5-a36a-83d0360c078b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12a2855c-a48d-4fc1-87e9-0c15635cef01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838741c0-09cb-487c-8684-c7ba53209791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db1782e3-899a-4f7c-8911-917b3dac04fc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aabf5f40-9519-4a6e-b81d-97031d6f1285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92b585e5-fc9b-44b7-9087-550b0ca52f41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2b52dcdc-f7bc-445b-98b3-112a8ca59387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3d837fee-7390-4999-8575-4abaffdf58dc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bfbc260f-e6a9-409a-9f8e-6877d89fc8bc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1306c782-a7e6-4c99-945a-1c0ffa04a950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07ad43d9-e2f4-4c0f-b644-011ec99599e6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803e13c9-c887-48b5-b14c-5632c79ddce9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435b1db1-38d3-45ff-be63-a626ea83cce7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86c586a4-420f-4039-a3d2-57c38927b0b6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632</Words>
  <Pages>1</Pages>
  <Characters>4308</Characters>
  <Application>WPS Office</Application>
  <DocSecurity>0</DocSecurity>
  <Paragraphs>64</Paragraphs>
  <ScaleCrop>false</ScaleCrop>
  <LinksUpToDate>false</LinksUpToDate>
  <CharactersWithSpaces>4882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SM-G9910</lastModifiedBy>
  <dcterms:modified xsi:type="dcterms:W3CDTF">2026-07-23T19:22:36Z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5181ef18cfeb45fa823f5c2227114679_23</vt:lpwstr>
  </property>
</Properties>
</file>