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EA4E0" w14:textId="77777777" w:rsidR="00071BB3" w:rsidRPr="00BF6D0B" w:rsidRDefault="00000000">
      <w:pPr>
        <w:spacing w:after="80"/>
        <w:rPr>
          <w:sz w:val="20"/>
          <w:szCs w:val="20"/>
        </w:rPr>
      </w:pPr>
      <w:r w:rsidRPr="00BF6D0B">
        <w:rPr>
          <w:rFonts w:ascii="Arial" w:hAnsi="Arial"/>
          <w:b/>
          <w:color w:val="102C57"/>
          <w:sz w:val="20"/>
          <w:szCs w:val="20"/>
        </w:rPr>
        <w:t>FINANCIAL ANALYSIS REPORT: GREENPOWER</w:t>
      </w:r>
    </w:p>
    <w:p w14:paraId="3727F1A7" w14:textId="77777777" w:rsidR="00071BB3" w:rsidRPr="00BF6D0B" w:rsidRDefault="00000000">
      <w:pPr>
        <w:spacing w:after="480"/>
        <w:rPr>
          <w:sz w:val="20"/>
          <w:szCs w:val="20"/>
        </w:rPr>
      </w:pPr>
      <w:r w:rsidRPr="00BF6D0B">
        <w:rPr>
          <w:rFonts w:ascii="Arial" w:hAnsi="Arial"/>
          <w:i/>
          <w:color w:val="5A6B7C"/>
          <w:sz w:val="20"/>
          <w:szCs w:val="20"/>
        </w:rPr>
        <w:t>Comprehensive 3-Year Historical Ratio Analysis, Industry Benchmarking, and Quality of Earnings Assessment</w:t>
      </w:r>
    </w:p>
    <w:p w14:paraId="126E6A10" w14:textId="77777777" w:rsidR="00071BB3" w:rsidRPr="00BF6D0B" w:rsidRDefault="00000000">
      <w:pPr>
        <w:spacing w:before="320" w:after="160"/>
        <w:rPr>
          <w:sz w:val="20"/>
          <w:szCs w:val="20"/>
        </w:rPr>
      </w:pPr>
      <w:r w:rsidRPr="00BF6D0B">
        <w:rPr>
          <w:rFonts w:ascii="Arial" w:hAnsi="Arial"/>
          <w:b/>
          <w:color w:val="102C57"/>
          <w:sz w:val="20"/>
          <w:szCs w:val="20"/>
        </w:rPr>
        <w:t>Section 1 — Ratio Analysis and Trends</w:t>
      </w:r>
    </w:p>
    <w:p w14:paraId="30E7ABD9" w14:textId="77777777" w:rsidR="00071BB3" w:rsidRPr="00BF6D0B" w:rsidRDefault="00000000">
      <w:pPr>
        <w:spacing w:after="240"/>
        <w:rPr>
          <w:sz w:val="20"/>
          <w:szCs w:val="20"/>
        </w:rPr>
      </w:pPr>
      <w:r w:rsidRPr="00BF6D0B">
        <w:rPr>
          <w:rFonts w:ascii="Arial" w:hAnsi="Arial"/>
          <w:sz w:val="20"/>
          <w:szCs w:val="20"/>
        </w:rPr>
        <w:t>Over the three-year historical period from FY 2023 through FY 2025, GreenPower has experienced severe structural deterioration across its core operational and financial metrics. The most striking development is a catastrophic 49.5% top-line contraction, plunging revenues as demand faltered and operational execution stalled. This revenue collapse severely impacted fixed-cost absorption, driving gross profit margin compression from 18.26% in FY 2023 down to 11.07% in FY 2025. Simultaneously, SG&amp;A expenses ballooned relative to a shrinking revenue base, skyrocketing from 51.73% of revenue in FY 2023 to an unsustainable 101.36% in FY 2025, meaning operating overhead completely consumed top-line generation before accounting for cost of goods sold.</w:t>
      </w:r>
    </w:p>
    <w:tbl>
      <w:tblPr>
        <w:tblW w:w="0" w:type="auto"/>
        <w:jc w:val="center"/>
        <w:tblLook w:val="04A0" w:firstRow="1" w:lastRow="0" w:firstColumn="1" w:lastColumn="0" w:noHBand="0" w:noVBand="1"/>
      </w:tblPr>
      <w:tblGrid>
        <w:gridCol w:w="2937"/>
        <w:gridCol w:w="1522"/>
        <w:gridCol w:w="1534"/>
        <w:gridCol w:w="1534"/>
        <w:gridCol w:w="2073"/>
      </w:tblGrid>
      <w:tr w:rsidR="00071BB3" w:rsidRPr="00BF6D0B" w14:paraId="06F934B0" w14:textId="77777777">
        <w:trPr>
          <w:jc w:val="center"/>
        </w:trPr>
        <w:tc>
          <w:tcPr>
            <w:tcW w:w="3168" w:type="dxa"/>
            <w:tcMar>
              <w:top w:w="120" w:type="dxa"/>
              <w:left w:w="120" w:type="dxa"/>
              <w:bottom w:w="120" w:type="dxa"/>
              <w:right w:w="120" w:type="dxa"/>
            </w:tcMar>
          </w:tcPr>
          <w:p w14:paraId="42B87AF9" w14:textId="77777777" w:rsidR="00071BB3" w:rsidRPr="00BF6D0B" w:rsidRDefault="00000000">
            <w:pPr>
              <w:rPr>
                <w:sz w:val="20"/>
                <w:szCs w:val="20"/>
              </w:rPr>
            </w:pPr>
            <w:r w:rsidRPr="00BF6D0B">
              <w:rPr>
                <w:rFonts w:ascii="Arial" w:hAnsi="Arial"/>
                <w:b/>
                <w:color w:val="FFFFFF"/>
                <w:sz w:val="20"/>
                <w:szCs w:val="20"/>
              </w:rPr>
              <w:t>Financial Ratio</w:t>
            </w:r>
          </w:p>
        </w:tc>
        <w:tc>
          <w:tcPr>
            <w:tcW w:w="1584" w:type="dxa"/>
            <w:tcMar>
              <w:top w:w="120" w:type="dxa"/>
              <w:left w:w="120" w:type="dxa"/>
              <w:bottom w:w="120" w:type="dxa"/>
              <w:right w:w="120" w:type="dxa"/>
            </w:tcMar>
          </w:tcPr>
          <w:p w14:paraId="3A5285D0" w14:textId="77777777" w:rsidR="00071BB3" w:rsidRPr="00BF6D0B" w:rsidRDefault="00000000">
            <w:pPr>
              <w:jc w:val="right"/>
              <w:rPr>
                <w:sz w:val="20"/>
                <w:szCs w:val="20"/>
              </w:rPr>
            </w:pPr>
            <w:r w:rsidRPr="00BF6D0B">
              <w:rPr>
                <w:rFonts w:ascii="Arial" w:hAnsi="Arial"/>
                <w:b/>
                <w:color w:val="FFFFFF"/>
                <w:sz w:val="20"/>
                <w:szCs w:val="20"/>
              </w:rPr>
              <w:t>FY 2023</w:t>
            </w:r>
          </w:p>
        </w:tc>
        <w:tc>
          <w:tcPr>
            <w:tcW w:w="1584" w:type="dxa"/>
            <w:tcMar>
              <w:top w:w="120" w:type="dxa"/>
              <w:left w:w="120" w:type="dxa"/>
              <w:bottom w:w="120" w:type="dxa"/>
              <w:right w:w="120" w:type="dxa"/>
            </w:tcMar>
          </w:tcPr>
          <w:p w14:paraId="0AE450DC" w14:textId="77777777" w:rsidR="00071BB3" w:rsidRPr="00BF6D0B" w:rsidRDefault="00000000">
            <w:pPr>
              <w:jc w:val="right"/>
              <w:rPr>
                <w:sz w:val="20"/>
                <w:szCs w:val="20"/>
              </w:rPr>
            </w:pPr>
            <w:r w:rsidRPr="00BF6D0B">
              <w:rPr>
                <w:rFonts w:ascii="Arial" w:hAnsi="Arial"/>
                <w:b/>
                <w:color w:val="FFFFFF"/>
                <w:sz w:val="20"/>
                <w:szCs w:val="20"/>
              </w:rPr>
              <w:t>FY 2024</w:t>
            </w:r>
          </w:p>
        </w:tc>
        <w:tc>
          <w:tcPr>
            <w:tcW w:w="1584" w:type="dxa"/>
            <w:tcMar>
              <w:top w:w="120" w:type="dxa"/>
              <w:left w:w="120" w:type="dxa"/>
              <w:bottom w:w="120" w:type="dxa"/>
              <w:right w:w="120" w:type="dxa"/>
            </w:tcMar>
          </w:tcPr>
          <w:p w14:paraId="73FEC8A8" w14:textId="77777777" w:rsidR="00071BB3" w:rsidRPr="00BF6D0B" w:rsidRDefault="00000000">
            <w:pPr>
              <w:jc w:val="right"/>
              <w:rPr>
                <w:sz w:val="20"/>
                <w:szCs w:val="20"/>
              </w:rPr>
            </w:pPr>
            <w:r w:rsidRPr="00BF6D0B">
              <w:rPr>
                <w:rFonts w:ascii="Arial" w:hAnsi="Arial"/>
                <w:b/>
                <w:color w:val="FFFFFF"/>
                <w:sz w:val="20"/>
                <w:szCs w:val="20"/>
              </w:rPr>
              <w:t>FY 2025</w:t>
            </w:r>
          </w:p>
        </w:tc>
        <w:tc>
          <w:tcPr>
            <w:tcW w:w="2160" w:type="dxa"/>
            <w:tcMar>
              <w:top w:w="120" w:type="dxa"/>
              <w:left w:w="120" w:type="dxa"/>
              <w:bottom w:w="120" w:type="dxa"/>
              <w:right w:w="120" w:type="dxa"/>
            </w:tcMar>
          </w:tcPr>
          <w:p w14:paraId="1064D2D7" w14:textId="77777777" w:rsidR="00071BB3" w:rsidRPr="00BF6D0B" w:rsidRDefault="00000000">
            <w:pPr>
              <w:jc w:val="center"/>
              <w:rPr>
                <w:sz w:val="20"/>
                <w:szCs w:val="20"/>
              </w:rPr>
            </w:pPr>
            <w:r w:rsidRPr="00BF6D0B">
              <w:rPr>
                <w:rFonts w:ascii="Arial" w:hAnsi="Arial"/>
                <w:b/>
                <w:color w:val="FFFFFF"/>
                <w:sz w:val="20"/>
                <w:szCs w:val="20"/>
              </w:rPr>
              <w:t>Trend Direction</w:t>
            </w:r>
          </w:p>
        </w:tc>
      </w:tr>
      <w:tr w:rsidR="00071BB3" w:rsidRPr="00BF6D0B" w14:paraId="232251F2" w14:textId="77777777">
        <w:trPr>
          <w:jc w:val="center"/>
        </w:trPr>
        <w:tc>
          <w:tcPr>
            <w:tcW w:w="3168" w:type="dxa"/>
            <w:tcMar>
              <w:top w:w="100" w:type="dxa"/>
              <w:left w:w="120" w:type="dxa"/>
              <w:bottom w:w="100" w:type="dxa"/>
              <w:right w:w="120" w:type="dxa"/>
            </w:tcMar>
          </w:tcPr>
          <w:p w14:paraId="2166E85B" w14:textId="77777777" w:rsidR="00071BB3" w:rsidRPr="00BF6D0B" w:rsidRDefault="00000000">
            <w:pPr>
              <w:rPr>
                <w:sz w:val="20"/>
                <w:szCs w:val="20"/>
              </w:rPr>
            </w:pPr>
            <w:r w:rsidRPr="00BF6D0B">
              <w:rPr>
                <w:rFonts w:ascii="Arial" w:hAnsi="Arial"/>
                <w:color w:val="1E1E1E"/>
                <w:sz w:val="20"/>
                <w:szCs w:val="20"/>
              </w:rPr>
              <w:t>Gross Profit Margin</w:t>
            </w:r>
          </w:p>
        </w:tc>
        <w:tc>
          <w:tcPr>
            <w:tcW w:w="1584" w:type="dxa"/>
            <w:tcMar>
              <w:top w:w="100" w:type="dxa"/>
              <w:left w:w="120" w:type="dxa"/>
              <w:bottom w:w="100" w:type="dxa"/>
              <w:right w:w="120" w:type="dxa"/>
            </w:tcMar>
          </w:tcPr>
          <w:p w14:paraId="03ECA92E" w14:textId="77777777" w:rsidR="00071BB3" w:rsidRPr="00BF6D0B" w:rsidRDefault="00000000">
            <w:pPr>
              <w:jc w:val="right"/>
              <w:rPr>
                <w:sz w:val="20"/>
                <w:szCs w:val="20"/>
              </w:rPr>
            </w:pPr>
            <w:r w:rsidRPr="00BF6D0B">
              <w:rPr>
                <w:rFonts w:ascii="Arial" w:hAnsi="Arial"/>
                <w:color w:val="1E1E1E"/>
                <w:sz w:val="20"/>
                <w:szCs w:val="20"/>
              </w:rPr>
              <w:t>18.26%</w:t>
            </w:r>
          </w:p>
        </w:tc>
        <w:tc>
          <w:tcPr>
            <w:tcW w:w="1584" w:type="dxa"/>
            <w:tcMar>
              <w:top w:w="100" w:type="dxa"/>
              <w:left w:w="120" w:type="dxa"/>
              <w:bottom w:w="100" w:type="dxa"/>
              <w:right w:w="120" w:type="dxa"/>
            </w:tcMar>
          </w:tcPr>
          <w:p w14:paraId="2922ED14" w14:textId="77777777" w:rsidR="00071BB3" w:rsidRPr="00BF6D0B" w:rsidRDefault="00000000">
            <w:pPr>
              <w:jc w:val="right"/>
              <w:rPr>
                <w:sz w:val="20"/>
                <w:szCs w:val="20"/>
              </w:rPr>
            </w:pPr>
            <w:r w:rsidRPr="00BF6D0B">
              <w:rPr>
                <w:rFonts w:ascii="Arial" w:hAnsi="Arial"/>
                <w:color w:val="1E1E1E"/>
                <w:sz w:val="20"/>
                <w:szCs w:val="20"/>
              </w:rPr>
              <w:t>13.64%</w:t>
            </w:r>
          </w:p>
        </w:tc>
        <w:tc>
          <w:tcPr>
            <w:tcW w:w="1584" w:type="dxa"/>
            <w:tcMar>
              <w:top w:w="100" w:type="dxa"/>
              <w:left w:w="120" w:type="dxa"/>
              <w:bottom w:w="100" w:type="dxa"/>
              <w:right w:w="120" w:type="dxa"/>
            </w:tcMar>
          </w:tcPr>
          <w:p w14:paraId="3BEDE7EA" w14:textId="77777777" w:rsidR="00071BB3" w:rsidRPr="00BF6D0B" w:rsidRDefault="00000000">
            <w:pPr>
              <w:jc w:val="right"/>
              <w:rPr>
                <w:sz w:val="20"/>
                <w:szCs w:val="20"/>
              </w:rPr>
            </w:pPr>
            <w:r w:rsidRPr="00BF6D0B">
              <w:rPr>
                <w:rFonts w:ascii="Arial" w:hAnsi="Arial"/>
                <w:color w:val="1E1E1E"/>
                <w:sz w:val="20"/>
                <w:szCs w:val="20"/>
              </w:rPr>
              <w:t>11.07%</w:t>
            </w:r>
          </w:p>
        </w:tc>
        <w:tc>
          <w:tcPr>
            <w:tcW w:w="2160" w:type="dxa"/>
            <w:tcMar>
              <w:top w:w="100" w:type="dxa"/>
              <w:left w:w="120" w:type="dxa"/>
              <w:bottom w:w="100" w:type="dxa"/>
              <w:right w:w="120" w:type="dxa"/>
            </w:tcMar>
          </w:tcPr>
          <w:p w14:paraId="30E6D912" w14:textId="77777777" w:rsidR="00071BB3" w:rsidRPr="00BF6D0B" w:rsidRDefault="00000000">
            <w:pPr>
              <w:jc w:val="center"/>
              <w:rPr>
                <w:sz w:val="20"/>
                <w:szCs w:val="20"/>
              </w:rPr>
            </w:pPr>
            <w:r w:rsidRPr="00BF6D0B">
              <w:rPr>
                <w:rFonts w:ascii="Arial" w:hAnsi="Arial"/>
                <w:color w:val="1E1E1E"/>
                <w:sz w:val="20"/>
                <w:szCs w:val="20"/>
              </w:rPr>
              <w:t>Deteriorating</w:t>
            </w:r>
          </w:p>
        </w:tc>
      </w:tr>
      <w:tr w:rsidR="00071BB3" w:rsidRPr="00BF6D0B" w14:paraId="654C0B1A" w14:textId="77777777">
        <w:trPr>
          <w:jc w:val="center"/>
        </w:trPr>
        <w:tc>
          <w:tcPr>
            <w:tcW w:w="3168" w:type="dxa"/>
            <w:tcMar>
              <w:top w:w="100" w:type="dxa"/>
              <w:left w:w="120" w:type="dxa"/>
              <w:bottom w:w="100" w:type="dxa"/>
              <w:right w:w="120" w:type="dxa"/>
            </w:tcMar>
          </w:tcPr>
          <w:p w14:paraId="76AE728C" w14:textId="77777777" w:rsidR="00071BB3" w:rsidRPr="00BF6D0B" w:rsidRDefault="00000000">
            <w:pPr>
              <w:rPr>
                <w:sz w:val="20"/>
                <w:szCs w:val="20"/>
              </w:rPr>
            </w:pPr>
            <w:r w:rsidRPr="00BF6D0B">
              <w:rPr>
                <w:rFonts w:ascii="Arial" w:hAnsi="Arial"/>
                <w:color w:val="1E1E1E"/>
                <w:sz w:val="20"/>
                <w:szCs w:val="20"/>
              </w:rPr>
              <w:t>SG&amp;A / Revenue</w:t>
            </w:r>
          </w:p>
        </w:tc>
        <w:tc>
          <w:tcPr>
            <w:tcW w:w="1584" w:type="dxa"/>
            <w:tcMar>
              <w:top w:w="100" w:type="dxa"/>
              <w:left w:w="120" w:type="dxa"/>
              <w:bottom w:w="100" w:type="dxa"/>
              <w:right w:w="120" w:type="dxa"/>
            </w:tcMar>
          </w:tcPr>
          <w:p w14:paraId="1D6D698F" w14:textId="77777777" w:rsidR="00071BB3" w:rsidRPr="00BF6D0B" w:rsidRDefault="00000000">
            <w:pPr>
              <w:jc w:val="right"/>
              <w:rPr>
                <w:sz w:val="20"/>
                <w:szCs w:val="20"/>
              </w:rPr>
            </w:pPr>
            <w:r w:rsidRPr="00BF6D0B">
              <w:rPr>
                <w:rFonts w:ascii="Arial" w:hAnsi="Arial"/>
                <w:color w:val="1E1E1E"/>
                <w:sz w:val="20"/>
                <w:szCs w:val="20"/>
              </w:rPr>
              <w:t>51.73%</w:t>
            </w:r>
          </w:p>
        </w:tc>
        <w:tc>
          <w:tcPr>
            <w:tcW w:w="1584" w:type="dxa"/>
            <w:tcMar>
              <w:top w:w="100" w:type="dxa"/>
              <w:left w:w="120" w:type="dxa"/>
              <w:bottom w:w="100" w:type="dxa"/>
              <w:right w:w="120" w:type="dxa"/>
            </w:tcMar>
          </w:tcPr>
          <w:p w14:paraId="097760CE" w14:textId="77777777" w:rsidR="00071BB3" w:rsidRPr="00BF6D0B" w:rsidRDefault="00000000">
            <w:pPr>
              <w:jc w:val="right"/>
              <w:rPr>
                <w:sz w:val="20"/>
                <w:szCs w:val="20"/>
              </w:rPr>
            </w:pPr>
            <w:r w:rsidRPr="00BF6D0B">
              <w:rPr>
                <w:rFonts w:ascii="Arial" w:hAnsi="Arial"/>
                <w:color w:val="1E1E1E"/>
                <w:sz w:val="20"/>
                <w:szCs w:val="20"/>
              </w:rPr>
              <w:t>56.43%</w:t>
            </w:r>
          </w:p>
        </w:tc>
        <w:tc>
          <w:tcPr>
            <w:tcW w:w="1584" w:type="dxa"/>
            <w:tcMar>
              <w:top w:w="100" w:type="dxa"/>
              <w:left w:w="120" w:type="dxa"/>
              <w:bottom w:w="100" w:type="dxa"/>
              <w:right w:w="120" w:type="dxa"/>
            </w:tcMar>
          </w:tcPr>
          <w:p w14:paraId="43C967BF" w14:textId="77777777" w:rsidR="00071BB3" w:rsidRPr="00BF6D0B" w:rsidRDefault="00000000">
            <w:pPr>
              <w:jc w:val="right"/>
              <w:rPr>
                <w:sz w:val="20"/>
                <w:szCs w:val="20"/>
              </w:rPr>
            </w:pPr>
            <w:r w:rsidRPr="00BF6D0B">
              <w:rPr>
                <w:rFonts w:ascii="Arial" w:hAnsi="Arial"/>
                <w:color w:val="1E1E1E"/>
                <w:sz w:val="20"/>
                <w:szCs w:val="20"/>
              </w:rPr>
              <w:t>101.36%</w:t>
            </w:r>
          </w:p>
        </w:tc>
        <w:tc>
          <w:tcPr>
            <w:tcW w:w="2160" w:type="dxa"/>
            <w:tcMar>
              <w:top w:w="100" w:type="dxa"/>
              <w:left w:w="120" w:type="dxa"/>
              <w:bottom w:w="100" w:type="dxa"/>
              <w:right w:w="120" w:type="dxa"/>
            </w:tcMar>
          </w:tcPr>
          <w:p w14:paraId="209DEAF9" w14:textId="77777777" w:rsidR="00071BB3" w:rsidRPr="00BF6D0B" w:rsidRDefault="00000000">
            <w:pPr>
              <w:jc w:val="center"/>
              <w:rPr>
                <w:sz w:val="20"/>
                <w:szCs w:val="20"/>
              </w:rPr>
            </w:pPr>
            <w:r w:rsidRPr="00BF6D0B">
              <w:rPr>
                <w:rFonts w:ascii="Arial" w:hAnsi="Arial"/>
                <w:color w:val="1E1E1E"/>
                <w:sz w:val="20"/>
                <w:szCs w:val="20"/>
              </w:rPr>
              <w:t>Deteriorating</w:t>
            </w:r>
          </w:p>
        </w:tc>
      </w:tr>
      <w:tr w:rsidR="00071BB3" w:rsidRPr="00BF6D0B" w14:paraId="0AD4973F" w14:textId="77777777">
        <w:trPr>
          <w:jc w:val="center"/>
        </w:trPr>
        <w:tc>
          <w:tcPr>
            <w:tcW w:w="3168" w:type="dxa"/>
            <w:tcMar>
              <w:top w:w="100" w:type="dxa"/>
              <w:left w:w="120" w:type="dxa"/>
              <w:bottom w:w="100" w:type="dxa"/>
              <w:right w:w="120" w:type="dxa"/>
            </w:tcMar>
          </w:tcPr>
          <w:p w14:paraId="3152CA93" w14:textId="77777777" w:rsidR="00071BB3" w:rsidRPr="00BF6D0B" w:rsidRDefault="00000000">
            <w:pPr>
              <w:rPr>
                <w:sz w:val="20"/>
                <w:szCs w:val="20"/>
              </w:rPr>
            </w:pPr>
            <w:r w:rsidRPr="00BF6D0B">
              <w:rPr>
                <w:rFonts w:ascii="Arial" w:hAnsi="Arial"/>
                <w:color w:val="1E1E1E"/>
                <w:sz w:val="20"/>
                <w:szCs w:val="20"/>
              </w:rPr>
              <w:t>EBIT Margin</w:t>
            </w:r>
          </w:p>
        </w:tc>
        <w:tc>
          <w:tcPr>
            <w:tcW w:w="1584" w:type="dxa"/>
            <w:tcMar>
              <w:top w:w="100" w:type="dxa"/>
              <w:left w:w="120" w:type="dxa"/>
              <w:bottom w:w="100" w:type="dxa"/>
              <w:right w:w="120" w:type="dxa"/>
            </w:tcMar>
          </w:tcPr>
          <w:p w14:paraId="503232FB" w14:textId="77777777" w:rsidR="00071BB3" w:rsidRPr="00BF6D0B" w:rsidRDefault="00000000">
            <w:pPr>
              <w:jc w:val="right"/>
              <w:rPr>
                <w:sz w:val="20"/>
                <w:szCs w:val="20"/>
              </w:rPr>
            </w:pPr>
            <w:r w:rsidRPr="00BF6D0B">
              <w:rPr>
                <w:rFonts w:ascii="Arial" w:hAnsi="Arial"/>
                <w:color w:val="1E1E1E"/>
                <w:sz w:val="20"/>
                <w:szCs w:val="20"/>
              </w:rPr>
              <w:t>-33.47%</w:t>
            </w:r>
          </w:p>
        </w:tc>
        <w:tc>
          <w:tcPr>
            <w:tcW w:w="1584" w:type="dxa"/>
            <w:tcMar>
              <w:top w:w="100" w:type="dxa"/>
              <w:left w:w="120" w:type="dxa"/>
              <w:bottom w:w="100" w:type="dxa"/>
              <w:right w:w="120" w:type="dxa"/>
            </w:tcMar>
          </w:tcPr>
          <w:p w14:paraId="30DAAF43" w14:textId="77777777" w:rsidR="00071BB3" w:rsidRPr="00BF6D0B" w:rsidRDefault="00000000">
            <w:pPr>
              <w:jc w:val="right"/>
              <w:rPr>
                <w:sz w:val="20"/>
                <w:szCs w:val="20"/>
              </w:rPr>
            </w:pPr>
            <w:r w:rsidRPr="00BF6D0B">
              <w:rPr>
                <w:rFonts w:ascii="Arial" w:hAnsi="Arial"/>
                <w:color w:val="1E1E1E"/>
                <w:sz w:val="20"/>
                <w:szCs w:val="20"/>
              </w:rPr>
              <w:t>42.78%</w:t>
            </w:r>
          </w:p>
        </w:tc>
        <w:tc>
          <w:tcPr>
            <w:tcW w:w="1584" w:type="dxa"/>
            <w:tcMar>
              <w:top w:w="100" w:type="dxa"/>
              <w:left w:w="120" w:type="dxa"/>
              <w:bottom w:w="100" w:type="dxa"/>
              <w:right w:w="120" w:type="dxa"/>
            </w:tcMar>
          </w:tcPr>
          <w:p w14:paraId="50825C47" w14:textId="77777777" w:rsidR="00071BB3" w:rsidRPr="00BF6D0B" w:rsidRDefault="00000000">
            <w:pPr>
              <w:jc w:val="right"/>
              <w:rPr>
                <w:sz w:val="20"/>
                <w:szCs w:val="20"/>
              </w:rPr>
            </w:pPr>
            <w:r w:rsidRPr="00BF6D0B">
              <w:rPr>
                <w:rFonts w:ascii="Arial" w:hAnsi="Arial"/>
                <w:color w:val="1E1E1E"/>
                <w:sz w:val="20"/>
                <w:szCs w:val="20"/>
              </w:rPr>
              <w:t>90.29%*</w:t>
            </w:r>
          </w:p>
        </w:tc>
        <w:tc>
          <w:tcPr>
            <w:tcW w:w="2160" w:type="dxa"/>
            <w:tcMar>
              <w:top w:w="100" w:type="dxa"/>
              <w:left w:w="120" w:type="dxa"/>
              <w:bottom w:w="100" w:type="dxa"/>
              <w:right w:w="120" w:type="dxa"/>
            </w:tcMar>
          </w:tcPr>
          <w:p w14:paraId="341AFFD0" w14:textId="77777777" w:rsidR="00071BB3" w:rsidRPr="00BF6D0B" w:rsidRDefault="00000000">
            <w:pPr>
              <w:jc w:val="center"/>
              <w:rPr>
                <w:sz w:val="20"/>
                <w:szCs w:val="20"/>
              </w:rPr>
            </w:pPr>
            <w:r w:rsidRPr="00BF6D0B">
              <w:rPr>
                <w:rFonts w:ascii="Arial" w:hAnsi="Arial"/>
                <w:color w:val="1E1E1E"/>
                <w:sz w:val="20"/>
                <w:szCs w:val="20"/>
              </w:rPr>
              <w:t>Volatile / Distorted</w:t>
            </w:r>
          </w:p>
        </w:tc>
      </w:tr>
      <w:tr w:rsidR="00071BB3" w:rsidRPr="00BF6D0B" w14:paraId="7B5E46EF" w14:textId="77777777">
        <w:trPr>
          <w:jc w:val="center"/>
        </w:trPr>
        <w:tc>
          <w:tcPr>
            <w:tcW w:w="3168" w:type="dxa"/>
            <w:tcMar>
              <w:top w:w="100" w:type="dxa"/>
              <w:left w:w="120" w:type="dxa"/>
              <w:bottom w:w="100" w:type="dxa"/>
              <w:right w:w="120" w:type="dxa"/>
            </w:tcMar>
          </w:tcPr>
          <w:p w14:paraId="18BB06B5" w14:textId="77777777" w:rsidR="00071BB3" w:rsidRPr="00BF6D0B" w:rsidRDefault="00000000">
            <w:pPr>
              <w:rPr>
                <w:sz w:val="20"/>
                <w:szCs w:val="20"/>
              </w:rPr>
            </w:pPr>
            <w:r w:rsidRPr="00BF6D0B">
              <w:rPr>
                <w:rFonts w:ascii="Arial" w:hAnsi="Arial"/>
                <w:color w:val="1E1E1E"/>
                <w:sz w:val="20"/>
                <w:szCs w:val="20"/>
              </w:rPr>
              <w:t>Current Ratio</w:t>
            </w:r>
          </w:p>
        </w:tc>
        <w:tc>
          <w:tcPr>
            <w:tcW w:w="1584" w:type="dxa"/>
            <w:tcMar>
              <w:top w:w="100" w:type="dxa"/>
              <w:left w:w="120" w:type="dxa"/>
              <w:bottom w:w="100" w:type="dxa"/>
              <w:right w:w="120" w:type="dxa"/>
            </w:tcMar>
          </w:tcPr>
          <w:p w14:paraId="59FD17C8" w14:textId="77777777" w:rsidR="00071BB3" w:rsidRPr="00BF6D0B" w:rsidRDefault="00000000">
            <w:pPr>
              <w:jc w:val="right"/>
              <w:rPr>
                <w:sz w:val="20"/>
                <w:szCs w:val="20"/>
              </w:rPr>
            </w:pPr>
            <w:r w:rsidRPr="00BF6D0B">
              <w:rPr>
                <w:rFonts w:ascii="Arial" w:hAnsi="Arial"/>
                <w:color w:val="1E1E1E"/>
                <w:sz w:val="20"/>
                <w:szCs w:val="20"/>
              </w:rPr>
              <w:t>—</w:t>
            </w:r>
          </w:p>
        </w:tc>
        <w:tc>
          <w:tcPr>
            <w:tcW w:w="1584" w:type="dxa"/>
            <w:tcMar>
              <w:top w:w="100" w:type="dxa"/>
              <w:left w:w="120" w:type="dxa"/>
              <w:bottom w:w="100" w:type="dxa"/>
              <w:right w:w="120" w:type="dxa"/>
            </w:tcMar>
          </w:tcPr>
          <w:p w14:paraId="5D863F2D" w14:textId="77777777" w:rsidR="00071BB3" w:rsidRPr="00BF6D0B" w:rsidRDefault="00000000">
            <w:pPr>
              <w:jc w:val="right"/>
              <w:rPr>
                <w:sz w:val="20"/>
                <w:szCs w:val="20"/>
              </w:rPr>
            </w:pPr>
            <w:r w:rsidRPr="00BF6D0B">
              <w:rPr>
                <w:rFonts w:ascii="Arial" w:hAnsi="Arial"/>
                <w:color w:val="1E1E1E"/>
                <w:sz w:val="20"/>
                <w:szCs w:val="20"/>
              </w:rPr>
              <w:t>173.09%</w:t>
            </w:r>
          </w:p>
        </w:tc>
        <w:tc>
          <w:tcPr>
            <w:tcW w:w="1584" w:type="dxa"/>
            <w:tcMar>
              <w:top w:w="100" w:type="dxa"/>
              <w:left w:w="120" w:type="dxa"/>
              <w:bottom w:w="100" w:type="dxa"/>
              <w:right w:w="120" w:type="dxa"/>
            </w:tcMar>
          </w:tcPr>
          <w:p w14:paraId="0232944B" w14:textId="77777777" w:rsidR="00071BB3" w:rsidRPr="00BF6D0B" w:rsidRDefault="00000000">
            <w:pPr>
              <w:jc w:val="right"/>
              <w:rPr>
                <w:sz w:val="20"/>
                <w:szCs w:val="20"/>
              </w:rPr>
            </w:pPr>
            <w:r w:rsidRPr="00BF6D0B">
              <w:rPr>
                <w:rFonts w:ascii="Arial" w:hAnsi="Arial"/>
                <w:color w:val="1E1E1E"/>
                <w:sz w:val="20"/>
                <w:szCs w:val="20"/>
              </w:rPr>
              <w:t>141.22%</w:t>
            </w:r>
          </w:p>
        </w:tc>
        <w:tc>
          <w:tcPr>
            <w:tcW w:w="2160" w:type="dxa"/>
            <w:tcMar>
              <w:top w:w="100" w:type="dxa"/>
              <w:left w:w="120" w:type="dxa"/>
              <w:bottom w:w="100" w:type="dxa"/>
              <w:right w:w="120" w:type="dxa"/>
            </w:tcMar>
          </w:tcPr>
          <w:p w14:paraId="696FA6C8" w14:textId="77777777" w:rsidR="00071BB3" w:rsidRPr="00BF6D0B" w:rsidRDefault="00000000">
            <w:pPr>
              <w:jc w:val="center"/>
              <w:rPr>
                <w:sz w:val="20"/>
                <w:szCs w:val="20"/>
              </w:rPr>
            </w:pPr>
            <w:r w:rsidRPr="00BF6D0B">
              <w:rPr>
                <w:rFonts w:ascii="Arial" w:hAnsi="Arial"/>
                <w:color w:val="1E1E1E"/>
                <w:sz w:val="20"/>
                <w:szCs w:val="20"/>
              </w:rPr>
              <w:t>Deteriorating</w:t>
            </w:r>
          </w:p>
        </w:tc>
      </w:tr>
      <w:tr w:rsidR="00071BB3" w:rsidRPr="00BF6D0B" w14:paraId="502BAF1A" w14:textId="77777777">
        <w:trPr>
          <w:jc w:val="center"/>
        </w:trPr>
        <w:tc>
          <w:tcPr>
            <w:tcW w:w="3168" w:type="dxa"/>
            <w:tcMar>
              <w:top w:w="100" w:type="dxa"/>
              <w:left w:w="120" w:type="dxa"/>
              <w:bottom w:w="100" w:type="dxa"/>
              <w:right w:w="120" w:type="dxa"/>
            </w:tcMar>
          </w:tcPr>
          <w:p w14:paraId="6AD42E77" w14:textId="77777777" w:rsidR="00071BB3" w:rsidRPr="00BF6D0B" w:rsidRDefault="00000000">
            <w:pPr>
              <w:rPr>
                <w:sz w:val="20"/>
                <w:szCs w:val="20"/>
              </w:rPr>
            </w:pPr>
            <w:r w:rsidRPr="00BF6D0B">
              <w:rPr>
                <w:rFonts w:ascii="Arial" w:hAnsi="Arial"/>
                <w:color w:val="1E1E1E"/>
                <w:sz w:val="20"/>
                <w:szCs w:val="20"/>
              </w:rPr>
              <w:t>Inventory / Revenue</w:t>
            </w:r>
          </w:p>
        </w:tc>
        <w:tc>
          <w:tcPr>
            <w:tcW w:w="1584" w:type="dxa"/>
            <w:tcMar>
              <w:top w:w="100" w:type="dxa"/>
              <w:left w:w="120" w:type="dxa"/>
              <w:bottom w:w="100" w:type="dxa"/>
              <w:right w:w="120" w:type="dxa"/>
            </w:tcMar>
          </w:tcPr>
          <w:p w14:paraId="69077DF2" w14:textId="77777777" w:rsidR="00071BB3" w:rsidRPr="00BF6D0B" w:rsidRDefault="00000000">
            <w:pPr>
              <w:jc w:val="right"/>
              <w:rPr>
                <w:sz w:val="20"/>
                <w:szCs w:val="20"/>
              </w:rPr>
            </w:pPr>
            <w:r w:rsidRPr="00BF6D0B">
              <w:rPr>
                <w:rFonts w:ascii="Arial" w:hAnsi="Arial"/>
                <w:color w:val="1E1E1E"/>
                <w:sz w:val="20"/>
                <w:szCs w:val="20"/>
              </w:rPr>
              <w:t>—</w:t>
            </w:r>
          </w:p>
        </w:tc>
        <w:tc>
          <w:tcPr>
            <w:tcW w:w="1584" w:type="dxa"/>
            <w:tcMar>
              <w:top w:w="100" w:type="dxa"/>
              <w:left w:w="120" w:type="dxa"/>
              <w:bottom w:w="100" w:type="dxa"/>
              <w:right w:w="120" w:type="dxa"/>
            </w:tcMar>
          </w:tcPr>
          <w:p w14:paraId="5F778A59" w14:textId="77777777" w:rsidR="00071BB3" w:rsidRPr="00BF6D0B" w:rsidRDefault="00000000">
            <w:pPr>
              <w:jc w:val="right"/>
              <w:rPr>
                <w:sz w:val="20"/>
                <w:szCs w:val="20"/>
              </w:rPr>
            </w:pPr>
            <w:r w:rsidRPr="00BF6D0B">
              <w:rPr>
                <w:rFonts w:ascii="Arial" w:hAnsi="Arial"/>
                <w:color w:val="1E1E1E"/>
                <w:sz w:val="20"/>
                <w:szCs w:val="20"/>
              </w:rPr>
              <w:t>81.51%</w:t>
            </w:r>
          </w:p>
        </w:tc>
        <w:tc>
          <w:tcPr>
            <w:tcW w:w="1584" w:type="dxa"/>
            <w:tcMar>
              <w:top w:w="100" w:type="dxa"/>
              <w:left w:w="120" w:type="dxa"/>
              <w:bottom w:w="100" w:type="dxa"/>
              <w:right w:w="120" w:type="dxa"/>
            </w:tcMar>
          </w:tcPr>
          <w:p w14:paraId="08036595" w14:textId="77777777" w:rsidR="00071BB3" w:rsidRPr="00BF6D0B" w:rsidRDefault="00000000">
            <w:pPr>
              <w:jc w:val="right"/>
              <w:rPr>
                <w:sz w:val="20"/>
                <w:szCs w:val="20"/>
              </w:rPr>
            </w:pPr>
            <w:r w:rsidRPr="00BF6D0B">
              <w:rPr>
                <w:rFonts w:ascii="Arial" w:hAnsi="Arial"/>
                <w:color w:val="1E1E1E"/>
                <w:sz w:val="20"/>
                <w:szCs w:val="20"/>
              </w:rPr>
              <w:t>129.00%</w:t>
            </w:r>
          </w:p>
        </w:tc>
        <w:tc>
          <w:tcPr>
            <w:tcW w:w="2160" w:type="dxa"/>
            <w:tcMar>
              <w:top w:w="100" w:type="dxa"/>
              <w:left w:w="120" w:type="dxa"/>
              <w:bottom w:w="100" w:type="dxa"/>
              <w:right w:w="120" w:type="dxa"/>
            </w:tcMar>
          </w:tcPr>
          <w:p w14:paraId="055CB22A" w14:textId="77777777" w:rsidR="00071BB3" w:rsidRPr="00BF6D0B" w:rsidRDefault="00000000">
            <w:pPr>
              <w:jc w:val="center"/>
              <w:rPr>
                <w:sz w:val="20"/>
                <w:szCs w:val="20"/>
              </w:rPr>
            </w:pPr>
            <w:r w:rsidRPr="00BF6D0B">
              <w:rPr>
                <w:rFonts w:ascii="Arial" w:hAnsi="Arial"/>
                <w:color w:val="1E1E1E"/>
                <w:sz w:val="20"/>
                <w:szCs w:val="20"/>
              </w:rPr>
              <w:t>Deteriorating</w:t>
            </w:r>
          </w:p>
        </w:tc>
      </w:tr>
      <w:tr w:rsidR="00071BB3" w:rsidRPr="00BF6D0B" w14:paraId="50BF0FCF" w14:textId="77777777">
        <w:trPr>
          <w:jc w:val="center"/>
        </w:trPr>
        <w:tc>
          <w:tcPr>
            <w:tcW w:w="3168" w:type="dxa"/>
            <w:tcMar>
              <w:top w:w="100" w:type="dxa"/>
              <w:left w:w="120" w:type="dxa"/>
              <w:bottom w:w="100" w:type="dxa"/>
              <w:right w:w="120" w:type="dxa"/>
            </w:tcMar>
          </w:tcPr>
          <w:p w14:paraId="36E95AFA" w14:textId="77777777" w:rsidR="00071BB3" w:rsidRPr="00BF6D0B" w:rsidRDefault="00000000">
            <w:pPr>
              <w:rPr>
                <w:sz w:val="20"/>
                <w:szCs w:val="20"/>
              </w:rPr>
            </w:pPr>
            <w:r w:rsidRPr="00BF6D0B">
              <w:rPr>
                <w:rFonts w:ascii="Arial" w:hAnsi="Arial"/>
                <w:color w:val="1E1E1E"/>
                <w:sz w:val="20"/>
                <w:szCs w:val="20"/>
              </w:rPr>
              <w:t>Interest Coverage (EBIT / Interest)</w:t>
            </w:r>
          </w:p>
        </w:tc>
        <w:tc>
          <w:tcPr>
            <w:tcW w:w="1584" w:type="dxa"/>
            <w:tcMar>
              <w:top w:w="100" w:type="dxa"/>
              <w:left w:w="120" w:type="dxa"/>
              <w:bottom w:w="100" w:type="dxa"/>
              <w:right w:w="120" w:type="dxa"/>
            </w:tcMar>
          </w:tcPr>
          <w:p w14:paraId="3153FD31" w14:textId="77777777" w:rsidR="00071BB3" w:rsidRPr="00BF6D0B" w:rsidRDefault="00000000">
            <w:pPr>
              <w:jc w:val="right"/>
              <w:rPr>
                <w:sz w:val="20"/>
                <w:szCs w:val="20"/>
              </w:rPr>
            </w:pPr>
            <w:r w:rsidRPr="00BF6D0B">
              <w:rPr>
                <w:rFonts w:ascii="Arial" w:hAnsi="Arial"/>
                <w:color w:val="1E1E1E"/>
                <w:sz w:val="20"/>
                <w:szCs w:val="20"/>
              </w:rPr>
              <w:t>857.10%</w:t>
            </w:r>
          </w:p>
        </w:tc>
        <w:tc>
          <w:tcPr>
            <w:tcW w:w="1584" w:type="dxa"/>
            <w:tcMar>
              <w:top w:w="100" w:type="dxa"/>
              <w:left w:w="120" w:type="dxa"/>
              <w:bottom w:w="100" w:type="dxa"/>
              <w:right w:w="120" w:type="dxa"/>
            </w:tcMar>
          </w:tcPr>
          <w:p w14:paraId="7E250881" w14:textId="77777777" w:rsidR="00071BB3" w:rsidRPr="00BF6D0B" w:rsidRDefault="00000000">
            <w:pPr>
              <w:jc w:val="right"/>
              <w:rPr>
                <w:sz w:val="20"/>
                <w:szCs w:val="20"/>
              </w:rPr>
            </w:pPr>
            <w:r w:rsidRPr="00BF6D0B">
              <w:rPr>
                <w:rFonts w:ascii="Arial" w:hAnsi="Arial"/>
                <w:color w:val="1E1E1E"/>
                <w:sz w:val="20"/>
                <w:szCs w:val="20"/>
              </w:rPr>
              <w:t>1080.51%</w:t>
            </w:r>
          </w:p>
        </w:tc>
        <w:tc>
          <w:tcPr>
            <w:tcW w:w="1584" w:type="dxa"/>
            <w:tcMar>
              <w:top w:w="100" w:type="dxa"/>
              <w:left w:w="120" w:type="dxa"/>
              <w:bottom w:w="100" w:type="dxa"/>
              <w:right w:w="120" w:type="dxa"/>
            </w:tcMar>
          </w:tcPr>
          <w:p w14:paraId="6DC4368B" w14:textId="77777777" w:rsidR="00071BB3" w:rsidRPr="00BF6D0B" w:rsidRDefault="00000000">
            <w:pPr>
              <w:jc w:val="right"/>
              <w:rPr>
                <w:sz w:val="20"/>
                <w:szCs w:val="20"/>
              </w:rPr>
            </w:pPr>
            <w:r w:rsidRPr="00BF6D0B">
              <w:rPr>
                <w:rFonts w:ascii="Arial" w:hAnsi="Arial"/>
                <w:color w:val="1E1E1E"/>
                <w:sz w:val="20"/>
                <w:szCs w:val="20"/>
              </w:rPr>
              <w:t>823.53%</w:t>
            </w:r>
          </w:p>
        </w:tc>
        <w:tc>
          <w:tcPr>
            <w:tcW w:w="2160" w:type="dxa"/>
            <w:tcMar>
              <w:top w:w="100" w:type="dxa"/>
              <w:left w:w="120" w:type="dxa"/>
              <w:bottom w:w="100" w:type="dxa"/>
              <w:right w:w="120" w:type="dxa"/>
            </w:tcMar>
          </w:tcPr>
          <w:p w14:paraId="1B6D721A" w14:textId="77777777" w:rsidR="00071BB3" w:rsidRPr="00BF6D0B" w:rsidRDefault="00000000">
            <w:pPr>
              <w:jc w:val="center"/>
              <w:rPr>
                <w:sz w:val="20"/>
                <w:szCs w:val="20"/>
              </w:rPr>
            </w:pPr>
            <w:r w:rsidRPr="00BF6D0B">
              <w:rPr>
                <w:rFonts w:ascii="Arial" w:hAnsi="Arial"/>
                <w:color w:val="1E1E1E"/>
                <w:sz w:val="20"/>
                <w:szCs w:val="20"/>
              </w:rPr>
              <w:t>Stable / High Leverage</w:t>
            </w:r>
          </w:p>
        </w:tc>
      </w:tr>
      <w:tr w:rsidR="00071BB3" w:rsidRPr="00BF6D0B" w14:paraId="07672BDD" w14:textId="77777777">
        <w:trPr>
          <w:jc w:val="center"/>
        </w:trPr>
        <w:tc>
          <w:tcPr>
            <w:tcW w:w="3168" w:type="dxa"/>
            <w:tcMar>
              <w:top w:w="100" w:type="dxa"/>
              <w:left w:w="120" w:type="dxa"/>
              <w:bottom w:w="100" w:type="dxa"/>
              <w:right w:w="120" w:type="dxa"/>
            </w:tcMar>
          </w:tcPr>
          <w:p w14:paraId="4CCE5329" w14:textId="77777777" w:rsidR="00071BB3" w:rsidRPr="00BF6D0B" w:rsidRDefault="00000000">
            <w:pPr>
              <w:rPr>
                <w:sz w:val="20"/>
                <w:szCs w:val="20"/>
              </w:rPr>
            </w:pPr>
            <w:r w:rsidRPr="00BF6D0B">
              <w:rPr>
                <w:rFonts w:ascii="Arial" w:hAnsi="Arial"/>
                <w:color w:val="1E1E1E"/>
                <w:sz w:val="20"/>
                <w:szCs w:val="20"/>
              </w:rPr>
              <w:t>Debt-to-Equity</w:t>
            </w:r>
          </w:p>
        </w:tc>
        <w:tc>
          <w:tcPr>
            <w:tcW w:w="1584" w:type="dxa"/>
            <w:tcMar>
              <w:top w:w="100" w:type="dxa"/>
              <w:left w:w="120" w:type="dxa"/>
              <w:bottom w:w="100" w:type="dxa"/>
              <w:right w:w="120" w:type="dxa"/>
            </w:tcMar>
          </w:tcPr>
          <w:p w14:paraId="2259395E" w14:textId="77777777" w:rsidR="00071BB3" w:rsidRPr="00BF6D0B" w:rsidRDefault="00000000">
            <w:pPr>
              <w:jc w:val="right"/>
              <w:rPr>
                <w:sz w:val="20"/>
                <w:szCs w:val="20"/>
              </w:rPr>
            </w:pPr>
            <w:r w:rsidRPr="00BF6D0B">
              <w:rPr>
                <w:rFonts w:ascii="Arial" w:hAnsi="Arial"/>
                <w:color w:val="1E1E1E"/>
                <w:sz w:val="20"/>
                <w:szCs w:val="20"/>
              </w:rPr>
              <w:t>—</w:t>
            </w:r>
          </w:p>
        </w:tc>
        <w:tc>
          <w:tcPr>
            <w:tcW w:w="1584" w:type="dxa"/>
            <w:tcMar>
              <w:top w:w="100" w:type="dxa"/>
              <w:left w:w="120" w:type="dxa"/>
              <w:bottom w:w="100" w:type="dxa"/>
              <w:right w:w="120" w:type="dxa"/>
            </w:tcMar>
          </w:tcPr>
          <w:p w14:paraId="53FA8D16" w14:textId="77777777" w:rsidR="00071BB3" w:rsidRPr="00BF6D0B" w:rsidRDefault="00000000">
            <w:pPr>
              <w:jc w:val="right"/>
              <w:rPr>
                <w:sz w:val="20"/>
                <w:szCs w:val="20"/>
              </w:rPr>
            </w:pPr>
            <w:r w:rsidRPr="00BF6D0B">
              <w:rPr>
                <w:rFonts w:ascii="Arial" w:hAnsi="Arial"/>
                <w:color w:val="1E1E1E"/>
                <w:sz w:val="20"/>
                <w:szCs w:val="20"/>
              </w:rPr>
              <w:t>290.79%</w:t>
            </w:r>
          </w:p>
        </w:tc>
        <w:tc>
          <w:tcPr>
            <w:tcW w:w="1584" w:type="dxa"/>
            <w:tcMar>
              <w:top w:w="100" w:type="dxa"/>
              <w:left w:w="120" w:type="dxa"/>
              <w:bottom w:w="100" w:type="dxa"/>
              <w:right w:w="120" w:type="dxa"/>
            </w:tcMar>
          </w:tcPr>
          <w:p w14:paraId="4E0358D6" w14:textId="77777777" w:rsidR="00071BB3" w:rsidRPr="00BF6D0B" w:rsidRDefault="00000000">
            <w:pPr>
              <w:jc w:val="right"/>
              <w:rPr>
                <w:sz w:val="20"/>
                <w:szCs w:val="20"/>
              </w:rPr>
            </w:pPr>
            <w:r w:rsidRPr="00BF6D0B">
              <w:rPr>
                <w:rFonts w:ascii="Arial" w:hAnsi="Arial"/>
                <w:color w:val="1E1E1E"/>
                <w:sz w:val="20"/>
                <w:szCs w:val="20"/>
              </w:rPr>
              <w:t>-2283.81%</w:t>
            </w:r>
          </w:p>
        </w:tc>
        <w:tc>
          <w:tcPr>
            <w:tcW w:w="2160" w:type="dxa"/>
            <w:tcMar>
              <w:top w:w="100" w:type="dxa"/>
              <w:left w:w="120" w:type="dxa"/>
              <w:bottom w:w="100" w:type="dxa"/>
              <w:right w:w="120" w:type="dxa"/>
            </w:tcMar>
          </w:tcPr>
          <w:p w14:paraId="7173ED65" w14:textId="77777777" w:rsidR="00071BB3" w:rsidRPr="00BF6D0B" w:rsidRDefault="00000000">
            <w:pPr>
              <w:jc w:val="center"/>
              <w:rPr>
                <w:sz w:val="20"/>
                <w:szCs w:val="20"/>
              </w:rPr>
            </w:pPr>
            <w:r w:rsidRPr="00BF6D0B">
              <w:rPr>
                <w:rFonts w:ascii="Arial" w:hAnsi="Arial"/>
                <w:color w:val="1E1E1E"/>
                <w:sz w:val="20"/>
                <w:szCs w:val="20"/>
              </w:rPr>
              <w:t>Critically Distressed</w:t>
            </w:r>
          </w:p>
        </w:tc>
      </w:tr>
    </w:tbl>
    <w:p w14:paraId="1C0A6D9E" w14:textId="77777777" w:rsidR="00071BB3" w:rsidRPr="00BF6D0B" w:rsidRDefault="00000000">
      <w:pPr>
        <w:spacing w:before="120" w:after="280"/>
        <w:rPr>
          <w:sz w:val="20"/>
          <w:szCs w:val="20"/>
        </w:rPr>
      </w:pPr>
      <w:r w:rsidRPr="00BF6D0B">
        <w:rPr>
          <w:rFonts w:ascii="Arial" w:hAnsi="Arial"/>
          <w:i/>
          <w:color w:val="646464"/>
          <w:sz w:val="20"/>
          <w:szCs w:val="20"/>
        </w:rPr>
        <w:t>*Note: FY 2024 and FY 2025 EBIT margins and related ratios reflect distortion from $1.4M in non-recurring liability derecognition gains and heavy inventory write-downs rather than core operating profitability.</w:t>
      </w:r>
    </w:p>
    <w:p w14:paraId="571BFFF1" w14:textId="77777777" w:rsidR="00071BB3" w:rsidRPr="00BF6D0B" w:rsidRDefault="00000000">
      <w:pPr>
        <w:spacing w:after="280"/>
        <w:rPr>
          <w:sz w:val="20"/>
          <w:szCs w:val="20"/>
        </w:rPr>
      </w:pPr>
      <w:r w:rsidRPr="00BF6D0B">
        <w:rPr>
          <w:rFonts w:ascii="Arial" w:hAnsi="Arial"/>
          <w:sz w:val="20"/>
          <w:szCs w:val="20"/>
        </w:rPr>
        <w:t>Working capital management has similarly degraded. The inventory-to-revenue ratio expanded aggressively from 81.51% in FY 2024 to 129.00% in FY 2025. This massive buildup indicates severe inventory obsolescence and unsold product accumulation, tying up vital liquidity while revenues contract. Concurrently, the current ratio weakened from 173.09% to 141.22%, signaling mounting short-term liquidity pressures. Most alarming is the Debt-to-Equity ratio, which plunged into extreme negative territory (-2283.81%) by FY 2025 due to cumulative operating losses wiping out shareholders' equity while debt obligations remained stubbornly high at nearly $20 million.</w:t>
      </w:r>
    </w:p>
    <w:p w14:paraId="6836AD92" w14:textId="77777777" w:rsidR="00071BB3" w:rsidRPr="00BF6D0B" w:rsidRDefault="00000000">
      <w:pPr>
        <w:spacing w:before="360" w:after="160"/>
        <w:rPr>
          <w:sz w:val="20"/>
          <w:szCs w:val="20"/>
        </w:rPr>
      </w:pPr>
      <w:r w:rsidRPr="00BF6D0B">
        <w:rPr>
          <w:rFonts w:ascii="Arial" w:hAnsi="Arial"/>
          <w:b/>
          <w:color w:val="102C57"/>
          <w:sz w:val="20"/>
          <w:szCs w:val="20"/>
        </w:rPr>
        <w:lastRenderedPageBreak/>
        <w:t>Section 2 — Benchmarking</w:t>
      </w:r>
    </w:p>
    <w:p w14:paraId="14AD9EE5" w14:textId="77777777" w:rsidR="00071BB3" w:rsidRPr="00BF6D0B" w:rsidRDefault="00000000">
      <w:pPr>
        <w:spacing w:after="280"/>
        <w:rPr>
          <w:sz w:val="20"/>
          <w:szCs w:val="20"/>
        </w:rPr>
      </w:pPr>
      <w:r w:rsidRPr="00BF6D0B">
        <w:rPr>
          <w:rFonts w:ascii="Arial" w:hAnsi="Arial"/>
          <w:sz w:val="20"/>
          <w:szCs w:val="20"/>
        </w:rPr>
        <w:t xml:space="preserve">Comparing GreenPower's cost structure against electric vehicle (EV) industry benchmarks and peer medians </w:t>
      </w:r>
      <w:proofErr w:type="gramStart"/>
      <w:r w:rsidRPr="00BF6D0B">
        <w:rPr>
          <w:rFonts w:ascii="Arial" w:hAnsi="Arial"/>
          <w:sz w:val="20"/>
          <w:szCs w:val="20"/>
        </w:rPr>
        <w:t>reveals</w:t>
      </w:r>
      <w:proofErr w:type="gramEnd"/>
      <w:r w:rsidRPr="00BF6D0B">
        <w:rPr>
          <w:rFonts w:ascii="Arial" w:hAnsi="Arial"/>
          <w:sz w:val="20"/>
          <w:szCs w:val="20"/>
        </w:rPr>
        <w:t xml:space="preserve"> extreme competitive disadvantages. Healthy EV sector peers typically maintain gross profit margins between 20% and 30% as manufacturing scale and supply chain efficiencies take hold. In stark contrast, GreenPower's gross margin has compressed to a fragile 11.07%, reflecting uncompetitive unit economics, pricing pressure, and high manufacturing overhead relative to low production volumes.</w:t>
      </w:r>
      <w:r w:rsidRPr="00BF6D0B">
        <w:rPr>
          <w:rFonts w:ascii="Arial" w:hAnsi="Arial"/>
          <w:sz w:val="20"/>
          <w:szCs w:val="20"/>
        </w:rPr>
        <w:br/>
      </w:r>
      <w:r w:rsidRPr="00BF6D0B">
        <w:rPr>
          <w:rFonts w:ascii="Arial" w:hAnsi="Arial"/>
          <w:sz w:val="20"/>
          <w:szCs w:val="20"/>
        </w:rPr>
        <w:br/>
        <w:t xml:space="preserve">Furthermore, peer SG&amp;A ratios in the growth-stage EV industry generally range from 20% to 35% of revenue as companies achieve operating leverage. GreenPower's SG&amp;A ratio of 101.36% in FY 2025 is an extreme outlier, demonstrating an inflated administrative and overhead cost structure that completely eclipses revenue generation. This structural mismatch highlights that GreenPower's cost base is engineered for a much larger revenue scale that the company has failed to capture, resulting in persistent cash </w:t>
      </w:r>
      <w:proofErr w:type="gramStart"/>
      <w:r w:rsidRPr="00BF6D0B">
        <w:rPr>
          <w:rFonts w:ascii="Arial" w:hAnsi="Arial"/>
          <w:sz w:val="20"/>
          <w:szCs w:val="20"/>
        </w:rPr>
        <w:t>burn</w:t>
      </w:r>
      <w:proofErr w:type="gramEnd"/>
      <w:r w:rsidRPr="00BF6D0B">
        <w:rPr>
          <w:rFonts w:ascii="Arial" w:hAnsi="Arial"/>
          <w:sz w:val="20"/>
          <w:szCs w:val="20"/>
        </w:rPr>
        <w:t xml:space="preserve"> and structural insolvency.</w:t>
      </w:r>
    </w:p>
    <w:p w14:paraId="63B57D66" w14:textId="77777777" w:rsidR="00071BB3" w:rsidRPr="00BF6D0B" w:rsidRDefault="00000000">
      <w:pPr>
        <w:spacing w:before="360" w:after="160"/>
        <w:rPr>
          <w:sz w:val="20"/>
          <w:szCs w:val="20"/>
        </w:rPr>
      </w:pPr>
      <w:r w:rsidRPr="00BF6D0B">
        <w:rPr>
          <w:rFonts w:ascii="Arial" w:hAnsi="Arial"/>
          <w:b/>
          <w:color w:val="102C57"/>
          <w:sz w:val="20"/>
          <w:szCs w:val="20"/>
        </w:rPr>
        <w:t>Section 3 — Quality of Earnings and Red Flags</w:t>
      </w:r>
    </w:p>
    <w:p w14:paraId="44989376" w14:textId="77777777" w:rsidR="00071BB3" w:rsidRPr="00BF6D0B" w:rsidRDefault="00000000">
      <w:pPr>
        <w:rPr>
          <w:sz w:val="20"/>
          <w:szCs w:val="20"/>
        </w:rPr>
      </w:pPr>
      <w:r w:rsidRPr="00BF6D0B">
        <w:rPr>
          <w:rFonts w:ascii="Arial" w:hAnsi="Arial"/>
          <w:sz w:val="20"/>
          <w:szCs w:val="20"/>
        </w:rPr>
        <w:t>A rigorous examination of GreenPower's financial statements, MD&amp;A disclosures, and footnote notes uncovers multiple critical red flags that severely undermine the quality of reported earnings and signal heightened risk of financial distress:</w:t>
      </w:r>
    </w:p>
    <w:p w14:paraId="2C5DF4CE" w14:textId="77777777" w:rsidR="00071BB3" w:rsidRPr="00BF6D0B" w:rsidRDefault="00000000">
      <w:pPr>
        <w:pStyle w:val="ListBullet"/>
        <w:spacing w:after="120"/>
        <w:rPr>
          <w:sz w:val="20"/>
          <w:szCs w:val="20"/>
        </w:rPr>
      </w:pPr>
      <w:r w:rsidRPr="00BF6D0B">
        <w:rPr>
          <w:rFonts w:ascii="Arial" w:hAnsi="Arial"/>
          <w:b/>
          <w:color w:val="102C57"/>
          <w:sz w:val="20"/>
          <w:szCs w:val="20"/>
        </w:rPr>
        <w:t xml:space="preserve">Going-Concern Warning: </w:t>
      </w:r>
      <w:r w:rsidRPr="00BF6D0B">
        <w:rPr>
          <w:rFonts w:ascii="Arial" w:hAnsi="Arial"/>
          <w:color w:val="323232"/>
          <w:sz w:val="20"/>
          <w:szCs w:val="20"/>
        </w:rPr>
        <w:t>Independent auditors have raised substantial doubt regarding GreenPower's ability to continue as a going concern, citing recurring operating losses, negative cash flows from operations, and an overwhelming debt service burden.</w:t>
      </w:r>
    </w:p>
    <w:p w14:paraId="2B853BA2" w14:textId="77777777" w:rsidR="00071BB3" w:rsidRPr="00BF6D0B" w:rsidRDefault="00000000">
      <w:pPr>
        <w:pStyle w:val="ListBullet"/>
        <w:spacing w:after="120"/>
        <w:rPr>
          <w:sz w:val="20"/>
          <w:szCs w:val="20"/>
        </w:rPr>
      </w:pPr>
      <w:r w:rsidRPr="00BF6D0B">
        <w:rPr>
          <w:rFonts w:ascii="Arial" w:hAnsi="Arial"/>
          <w:b/>
          <w:color w:val="102C57"/>
          <w:sz w:val="20"/>
          <w:szCs w:val="20"/>
        </w:rPr>
        <w:t xml:space="preserve">Material Weaknesses in Internal Controls: </w:t>
      </w:r>
      <w:r w:rsidRPr="00BF6D0B">
        <w:rPr>
          <w:rFonts w:ascii="Arial" w:hAnsi="Arial"/>
          <w:color w:val="323232"/>
          <w:sz w:val="20"/>
          <w:szCs w:val="20"/>
        </w:rPr>
        <w:t>Disclosures indicate significant deficiencies and material weaknesses in internal financial reporting controls, specifically regarding inventory costing methodologies and complex revenue recognition timing. These weaknesses increase the susceptibility of financial statements to misstatement.</w:t>
      </w:r>
    </w:p>
    <w:p w14:paraId="314D838E" w14:textId="77777777" w:rsidR="00071BB3" w:rsidRPr="00BF6D0B" w:rsidRDefault="00000000">
      <w:pPr>
        <w:pStyle w:val="ListBullet"/>
        <w:spacing w:after="120"/>
        <w:rPr>
          <w:sz w:val="20"/>
          <w:szCs w:val="20"/>
        </w:rPr>
      </w:pPr>
      <w:r w:rsidRPr="00BF6D0B">
        <w:rPr>
          <w:rFonts w:ascii="Arial" w:hAnsi="Arial"/>
          <w:b/>
          <w:color w:val="102C57"/>
          <w:sz w:val="20"/>
          <w:szCs w:val="20"/>
        </w:rPr>
        <w:t xml:space="preserve">Non-Recurring Other Income Distortions: </w:t>
      </w:r>
      <w:r w:rsidRPr="00BF6D0B">
        <w:rPr>
          <w:rFonts w:ascii="Arial" w:hAnsi="Arial"/>
          <w:color w:val="323232"/>
          <w:sz w:val="20"/>
          <w:szCs w:val="20"/>
        </w:rPr>
        <w:t>Reported operating profitability in recent periods has been artificially bolstered by a non-recurring gain of approximately $1.4 million resulting from the derecognition of liabilities. Stripping out this non-operating, non-cash item reveals even deeper operational losses.</w:t>
      </w:r>
    </w:p>
    <w:p w14:paraId="05BC9FED" w14:textId="77777777" w:rsidR="00071BB3" w:rsidRPr="00BF6D0B" w:rsidRDefault="00000000">
      <w:pPr>
        <w:pStyle w:val="ListBullet"/>
        <w:spacing w:after="120"/>
        <w:rPr>
          <w:sz w:val="20"/>
          <w:szCs w:val="20"/>
        </w:rPr>
      </w:pPr>
      <w:r w:rsidRPr="00BF6D0B">
        <w:rPr>
          <w:rFonts w:ascii="Arial" w:hAnsi="Arial"/>
          <w:b/>
          <w:color w:val="102C57"/>
          <w:sz w:val="20"/>
          <w:szCs w:val="20"/>
        </w:rPr>
        <w:t xml:space="preserve">Inventory Write-Downs and Obsolescence: </w:t>
      </w:r>
      <w:r w:rsidRPr="00BF6D0B">
        <w:rPr>
          <w:rFonts w:ascii="Arial" w:hAnsi="Arial"/>
          <w:color w:val="323232"/>
          <w:sz w:val="20"/>
          <w:szCs w:val="20"/>
        </w:rPr>
        <w:t>Substantial inventory write-downs embedded within COGS reflect sluggish inventory turnover and heavy accumulation of obsolete parts or finished goods, indicating that current asset carrying values are overstated.</w:t>
      </w:r>
    </w:p>
    <w:p w14:paraId="3050098F" w14:textId="77777777" w:rsidR="00071BB3" w:rsidRPr="00BF6D0B" w:rsidRDefault="00000000">
      <w:pPr>
        <w:pStyle w:val="ListBullet"/>
        <w:spacing w:after="120"/>
        <w:rPr>
          <w:sz w:val="20"/>
          <w:szCs w:val="20"/>
        </w:rPr>
      </w:pPr>
      <w:r w:rsidRPr="00BF6D0B">
        <w:rPr>
          <w:rFonts w:ascii="Arial" w:hAnsi="Arial"/>
          <w:b/>
          <w:color w:val="102C57"/>
          <w:sz w:val="20"/>
          <w:szCs w:val="20"/>
        </w:rPr>
        <w:t xml:space="preserve">Negative Shareholders' Equity &amp; Solvency Risk: </w:t>
      </w:r>
      <w:r w:rsidRPr="00BF6D0B">
        <w:rPr>
          <w:rFonts w:ascii="Arial" w:hAnsi="Arial"/>
          <w:color w:val="323232"/>
          <w:sz w:val="20"/>
          <w:szCs w:val="20"/>
        </w:rPr>
        <w:t xml:space="preserve">Accumulated deficits have driven total equity deep into negative territory (-$89.7M in valuation models, with negative book equity), leaving </w:t>
      </w:r>
      <w:proofErr w:type="gramStart"/>
      <w:r w:rsidRPr="00BF6D0B">
        <w:rPr>
          <w:rFonts w:ascii="Arial" w:hAnsi="Arial"/>
          <w:color w:val="323232"/>
          <w:sz w:val="20"/>
          <w:szCs w:val="20"/>
        </w:rPr>
        <w:t>the</w:t>
      </w:r>
      <w:proofErr w:type="gramEnd"/>
      <w:r w:rsidRPr="00BF6D0B">
        <w:rPr>
          <w:rFonts w:ascii="Arial" w:hAnsi="Arial"/>
          <w:color w:val="323232"/>
          <w:sz w:val="20"/>
          <w:szCs w:val="20"/>
        </w:rPr>
        <w:t xml:space="preserve"> </w:t>
      </w:r>
      <w:proofErr w:type="gramStart"/>
      <w:r w:rsidRPr="00BF6D0B">
        <w:rPr>
          <w:rFonts w:ascii="Arial" w:hAnsi="Arial"/>
          <w:color w:val="323232"/>
          <w:sz w:val="20"/>
          <w:szCs w:val="20"/>
        </w:rPr>
        <w:t>firm entirely</w:t>
      </w:r>
      <w:proofErr w:type="gramEnd"/>
      <w:r w:rsidRPr="00BF6D0B">
        <w:rPr>
          <w:rFonts w:ascii="Arial" w:hAnsi="Arial"/>
          <w:color w:val="323232"/>
          <w:sz w:val="20"/>
          <w:szCs w:val="20"/>
        </w:rPr>
        <w:t xml:space="preserve"> dependent on high-cost debt financing and related-party loan facilities totaling nearly $20 million to sustain operations.</w:t>
      </w:r>
    </w:p>
    <w:sectPr w:rsidR="00071BB3" w:rsidRPr="00BF6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A4A2C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9" w15:restartNumberingAfterBreak="0">
    <w:nsid w:val="58B85E85"/>
    <w:multiLevelType w:val="singleLevel"/>
    <w:tmpl w:val="C310EC42"/>
    <w:lvl w:ilvl="0">
      <w:start w:val="1"/>
      <w:numFmt w:val="decimal"/>
      <w:lvlText w:val="%1."/>
      <w:lvlJc w:val="left"/>
      <w:pPr>
        <w:tabs>
          <w:tab w:val="left" w:pos="1800"/>
        </w:tabs>
        <w:ind w:left="1800" w:hanging="360"/>
      </w:pPr>
    </w:lvl>
  </w:abstractNum>
  <w:num w:numId="1" w16cid:durableId="1151603674">
    <w:abstractNumId w:val="8"/>
  </w:num>
  <w:num w:numId="2" w16cid:durableId="196964702">
    <w:abstractNumId w:val="6"/>
  </w:num>
  <w:num w:numId="3" w16cid:durableId="436566274">
    <w:abstractNumId w:val="5"/>
  </w:num>
  <w:num w:numId="4" w16cid:durableId="147672423">
    <w:abstractNumId w:val="7"/>
  </w:num>
  <w:num w:numId="5" w16cid:durableId="1515342198">
    <w:abstractNumId w:val="3"/>
  </w:num>
  <w:num w:numId="6" w16cid:durableId="868832401">
    <w:abstractNumId w:val="2"/>
  </w:num>
  <w:num w:numId="7" w16cid:durableId="1218006780">
    <w:abstractNumId w:val="4"/>
  </w:num>
  <w:num w:numId="8" w16cid:durableId="433212472">
    <w:abstractNumId w:val="1"/>
  </w:num>
  <w:num w:numId="9" w16cid:durableId="630474109">
    <w:abstractNumId w:val="9"/>
  </w:num>
  <w:num w:numId="10" w16cid:durableId="500969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1BB3"/>
    <w:rsid w:val="00071BB3"/>
    <w:rsid w:val="005759F2"/>
    <w:rsid w:val="008830EA"/>
    <w:rsid w:val="00BF6D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94782"/>
  <w15:docId w15:val="{B9DD636F-86D2-4531-B1AB-4865B1E54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762</Words>
  <Characters>4347</Characters>
  <Application>Microsoft Office Word</Application>
  <DocSecurity>0</DocSecurity>
  <Lines>36</Lines>
  <Paragraphs>10</Paragraphs>
  <ScaleCrop>false</ScaleCrop>
  <Company/>
  <LinksUpToDate>false</LinksUpToDate>
  <CharactersWithSpaces>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Mariam Adebukola Adeniran</cp:lastModifiedBy>
  <cp:revision>3</cp:revision>
  <dcterms:created xsi:type="dcterms:W3CDTF">2013-12-23T23:15:00Z</dcterms:created>
  <dcterms:modified xsi:type="dcterms:W3CDTF">2026-07-23T21:31:00Z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20bd8463e4c44b719c26649d440644b7_23</vt:lpwstr>
  </property>
</Properties>
</file>