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9C391D2">
      <w:pPr>
        <w:pStyle w:val="style0"/>
        <w:spacing w:after="80"/>
        <w:rPr/>
      </w:pPr>
      <w:r>
        <w:rPr>
          <w:rFonts w:ascii="Arial" w:hAnsi="Arial"/>
          <w:b/>
          <w:color w:val="102c57"/>
          <w:sz w:val="40"/>
        </w:rPr>
        <w:t>VALUATION SUMMARY REPORT: GREENPOWER MOTOR COMPANY</w:t>
      </w:r>
    </w:p>
    <w:p w14:paraId="032164DA">
      <w:pPr>
        <w:pStyle w:val="style0"/>
        <w:spacing w:after="360"/>
        <w:rPr/>
      </w:pPr>
      <w:r>
        <w:rPr>
          <w:rFonts w:ascii="Arial" w:hAnsi="Arial"/>
          <w:i/>
          <w:color w:val="5a6b7c"/>
          <w:sz w:val="22"/>
        </w:rPr>
        <w:t>WACC Estimation, 5-Year DCF Projections, Scenario Analysis, Sensitivity Findings, and Valuation Range Recommendation</w:t>
      </w:r>
    </w:p>
    <w:p w14:paraId="22AED625">
      <w:pPr>
        <w:pStyle w:val="style0"/>
        <w:spacing w:before="280" w:after="120"/>
        <w:rPr/>
      </w:pPr>
      <w:r>
        <w:rPr>
          <w:rFonts w:ascii="Arial" w:hAnsi="Arial"/>
          <w:b/>
          <w:color w:val="102c57"/>
          <w:sz w:val="28"/>
        </w:rPr>
        <w:t>Section 1 — WACC Calculation &amp; Key Assumptions</w:t>
      </w:r>
    </w:p>
    <w:p w14:paraId="3EFFF83D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To discount projected free cash flows for GreenPower Motor Company, we have constructed a Weighted Average Cost of Capital (WACC) model utilizing the Capital Asset Pricing Model (CAPM) for the cost of equity and observed debt rates from MD&amp;A disclosures: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Risk-Free Rate (Rf): Set at 4.0%, reflecting prevailing long-term U.S. Treasury yields.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Equity Risk Premium (ERP): Established at 5.0%, standard for developed equity markets.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Unlevered/Levered Beta: Estimated at 1.80, reflecting the extreme volatility, high operating leverage, and distress profile of a micro-cap EV manufacturer.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Cost of Equity (Ke): Calculated via CAPM as Rf + (Beta × ERP) = 4.0% + (1.80 × 5.0%) = 13.0%.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Pre-Tax Cost of Debt (Kd): Set at 12.0%, derived directly from related-party loan facilities disclosed in the MD&amp;A.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Tax Rate: Assumed at 0.0%, given cumulative operating losses and net operating loss (NOL) carryforwards that shield near-term income.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Capital Structure Weights: Based on book values of debt (~$19.9M) and distressed market equity capitalization, yielding a blended WACC of approximately 11.5%.</w:t>
      </w:r>
    </w:p>
    <w:p w14:paraId="EF2C83B9">
      <w:pPr>
        <w:pStyle w:val="style0"/>
        <w:spacing w:before="320" w:after="120"/>
        <w:rPr/>
      </w:pPr>
      <w:r>
        <w:rPr>
          <w:rFonts w:ascii="Arial" w:hAnsi="Arial"/>
          <w:b/>
          <w:color w:val="102c57"/>
          <w:sz w:val="28"/>
        </w:rPr>
        <w:t>Section 2 — Scenario Valuation Range</w:t>
      </w:r>
    </w:p>
    <w:p w14:paraId="856DC112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We modeled three 5-year DCF operating scenarios to bracket the potential equity value per share compared to the current market price of $1.19: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20"/>
        <w:gridCol w:w="3678"/>
        <w:gridCol w:w="1478"/>
        <w:gridCol w:w="2402"/>
      </w:tblGrid>
      <w:tr w14:paraId="E41A5D70">
        <w:trPr>
          <w:jc w:val="center"/>
        </w:trPr>
        <w:tc>
          <w:tcPr>
            <w:tcW w:w="2160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8DC95">
            <w:pPr>
              <w:pStyle w:val="style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Operating Scenario</w:t>
            </w:r>
          </w:p>
        </w:tc>
        <w:tc>
          <w:tcPr>
            <w:tcW w:w="4032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B5DD1DB3">
            <w:pPr>
              <w:pStyle w:val="style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Core Assumptions &amp; Operational Profile</w:t>
            </w:r>
          </w:p>
        </w:tc>
        <w:tc>
          <w:tcPr>
            <w:tcW w:w="1584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E495">
            <w:pPr>
              <w:pStyle w:val="style0"/>
              <w:jc w:val="righ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Implied Equity Value / Share</w:t>
            </w:r>
          </w:p>
        </w:tc>
        <w:tc>
          <w:tcPr>
            <w:tcW w:w="2592" w:type="dxa"/>
            <w:tcBorders/>
            <w:shd w:val="nil" w:color="auto" w:fill="102c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B0D86">
            <w:pPr>
              <w:pStyle w:val="style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Comparison to $1.19 Price</w:t>
            </w:r>
          </w:p>
        </w:tc>
      </w:tr>
      <w:tr w14:paraId="336077BB">
        <w:tblPrEx/>
        <w:trPr>
          <w:jc w:val="center"/>
        </w:trPr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59D0A21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Downside Case</w:t>
            </w:r>
          </w:p>
        </w:tc>
        <w:tc>
          <w:tcPr>
            <w:tcW w:w="403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CB6C1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Continued revenue decline (-10% CAGR), SG&amp;A stuck at 90%, heavy cash burn, liquidation risk.</w:t>
            </w:r>
          </w:p>
        </w:tc>
        <w:tc>
          <w:tcPr>
            <w:tcW w:w="1584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CE1FF756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$0.20</w:t>
            </w:r>
          </w:p>
        </w:tc>
        <w:tc>
          <w:tcPr>
            <w:tcW w:w="259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F40EFDA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-83.2% (Severe Discount)</w:t>
            </w:r>
          </w:p>
        </w:tc>
      </w:tr>
      <w:tr w14:paraId="A05E9010">
        <w:tblPrEx/>
        <w:trPr>
          <w:jc w:val="center"/>
        </w:trPr>
        <w:tc>
          <w:tcPr>
            <w:tcW w:w="2160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9A27B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Base Case</w:t>
            </w:r>
          </w:p>
        </w:tc>
        <w:tc>
          <w:tcPr>
            <w:tcW w:w="4032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F238D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Revenue stabilizes (0% growth), modest cost reductions, SG&amp;A at 50%, sluggish margins.</w:t>
            </w:r>
          </w:p>
        </w:tc>
        <w:tc>
          <w:tcPr>
            <w:tcW w:w="1584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F1D47EB1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$1.50</w:t>
            </w:r>
          </w:p>
        </w:tc>
        <w:tc>
          <w:tcPr>
            <w:tcW w:w="2592" w:type="dxa"/>
            <w:tcBorders/>
            <w:shd w:val="nil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EE049345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+26.1% (Modest Premium)</w:t>
            </w:r>
          </w:p>
        </w:tc>
      </w:tr>
      <w:tr w14:paraId="A7B48A7C">
        <w:tblPrEx/>
        <w:trPr>
          <w:jc w:val="center"/>
        </w:trPr>
        <w:tc>
          <w:tcPr>
            <w:tcW w:w="2160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D03BF959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Turnaround Case</w:t>
            </w:r>
          </w:p>
        </w:tc>
        <w:tc>
          <w:tcPr>
            <w:tcW w:w="403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9A66CF66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Aggressive restructuring, 15% revenue CAGR, SG&amp;A cut to 25%, COGS/Revenue improved to 80%.</w:t>
            </w:r>
          </w:p>
        </w:tc>
        <w:tc>
          <w:tcPr>
            <w:tcW w:w="1584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E0CF3">
            <w:pPr>
              <w:pStyle w:val="style0"/>
              <w:jc w:val="right"/>
              <w:rPr/>
            </w:pPr>
            <w:r>
              <w:rPr>
                <w:rFonts w:ascii="Arial" w:hAnsi="Arial"/>
                <w:color w:val="1e1e1e"/>
                <w:sz w:val="18"/>
              </w:rPr>
              <w:t>$3.50</w:t>
            </w:r>
          </w:p>
        </w:tc>
        <w:tc>
          <w:tcPr>
            <w:tcW w:w="2592" w:type="dxa"/>
            <w:tcBorders/>
            <w:shd w:val="nil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8B35566A">
            <w:pPr>
              <w:pStyle w:val="style0"/>
              <w:jc w:val="left"/>
              <w:rPr/>
            </w:pPr>
            <w:r>
              <w:rPr>
                <w:rFonts w:ascii="Arial" w:hAnsi="Arial"/>
                <w:color w:val="1e1e1e"/>
                <w:sz w:val="18"/>
              </w:rPr>
              <w:t>+194.1% (Significant Upside)</w:t>
            </w:r>
          </w:p>
        </w:tc>
      </w:tr>
    </w:tbl>
    <w:p w14:paraId="2B82EA1D">
      <w:pPr>
        <w:pStyle w:val="style0"/>
        <w:spacing w:before="320" w:after="120"/>
        <w:rPr/>
      </w:pPr>
      <w:r>
        <w:rPr>
          <w:rFonts w:ascii="Arial" w:hAnsi="Arial"/>
          <w:b/>
          <w:color w:val="102c57"/>
          <w:sz w:val="28"/>
        </w:rPr>
        <w:t>Section 3 — Sensitivity Analysis Findings</w:t>
      </w:r>
    </w:p>
    <w:p w14:paraId="8F8BC3B4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A two-way sensitivity analysis examining WACC (ranging from 10.5% to 12.5%) against terminal growth rates (1.0% to 2.0%) highlights the critical drivers of valuation: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Dominance of Operating Assumptions over Terminal Parameters: While discount rate shifts alter enterprise value by ±15%, operational execution (specifically achieving the 80% COGS/Revenue target and 25% SG&amp;A ratio) accounts for over 70% of valuation variance.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Terminal Growth Sensitivity: Each 0.5% change in terminal growth shifts implied equity value by approximately $0.35 per share in the Turnaround model.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Debt Overhang Impact: Because debt obligations (~$19.9M) represent a massive claim against enterprise value, small shifts in operating cash flows have an outsized, non-linear impact on residual equity value.</w:t>
      </w:r>
    </w:p>
    <w:p w14:paraId="AFBFAFCF">
      <w:pPr>
        <w:pStyle w:val="style0"/>
        <w:spacing w:before="320" w:after="120"/>
        <w:rPr/>
      </w:pPr>
      <w:r>
        <w:rPr>
          <w:rFonts w:ascii="Arial" w:hAnsi="Arial"/>
          <w:b/>
          <w:color w:val="102c57"/>
          <w:sz w:val="28"/>
        </w:rPr>
        <w:t>Section 4 — Valuation Range Recommendation</w:t>
      </w:r>
    </w:p>
    <w:p w14:paraId="12F7AABB">
      <w:pPr>
        <w:pStyle w:val="style0"/>
        <w:spacing w:after="200" w:lineRule="auto" w:line="276"/>
        <w:rPr/>
      </w:pPr>
      <w:r>
        <w:rPr>
          <w:rFonts w:ascii="Arial" w:hAnsi="Arial"/>
          <w:sz w:val="20"/>
        </w:rPr>
        <w:t>Based on our DCF model and scenario synthesis, we establish the following acquisition pricing boundaries for EcoCapital: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Value Creation Threshold: To achieve target private equity hurdle rates (&gt;25% IRR), the acquisition price must be anchored at a distressed entry valuation range of $0.60 to $0.75 per share, representing a significant discount to the current $1.19 market price.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t>• Maximum Bid Price: Under no circumstances should the acquisition price exceed $1.00 per share, as higher valuations fail to compensate for the severe execution risk, negative equity, and debt restructuring required to turn GreenPower around.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6bb7eb3-4e36-42a0-aae1-acaa4cc460c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1e7ca3a-881c-47f3-9ec8-02a1bc05ef96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bbb9edf-7aae-4bc5-90a6-e95209a42be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157f0c1-2e4d-4f9b-8c30-c5d5cf438ff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9e44c9c3-71e3-4c51-b6d2-dc20a7baafa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ebf5e3a-9d63-423f-9149-c7393cba3d5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14198479-948c-467b-b066-ab08aff96ad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03d3137b-7931-400d-9221-909d5d494d0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4cf2b95-3ef9-4800-bc00-241c1db6ca7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9e9f342-9478-461b-9b48-624e3463727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5da9a34-1da0-43c9-be21-5ed278024e7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02cd22d-951a-4087-a303-209c865ca8bd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b13822f-9468-4a6d-83c5-fb54032e49e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7fd287ac-068d-440c-84f2-70a5499aae19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519</Words>
  <Pages>1</Pages>
  <Characters>3003</Characters>
  <Application>WPS Office</Application>
  <DocSecurity>0</DocSecurity>
  <Paragraphs>30</Paragraphs>
  <ScaleCrop>false</ScaleCrop>
  <LinksUpToDate>false</LinksUpToDate>
  <CharactersWithSpaces>3484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SM-G9910</lastModifiedBy>
  <dcterms:modified xsi:type="dcterms:W3CDTF">2026-07-23T19:56:56Z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7df14ab7a721476d9127714e8dd67ac9_23</vt:lpwstr>
  </property>
</Properties>
</file>