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4AF72F8">
      <w:pPr>
        <w:pStyle w:val="style0"/>
        <w:spacing w:after="80"/>
        <w:rPr/>
      </w:pPr>
      <w:r>
        <w:rPr>
          <w:rFonts w:ascii="Arial" w:hAnsi="Arial"/>
          <w:b/>
          <w:color w:val="102c57"/>
          <w:sz w:val="40"/>
        </w:rPr>
        <w:t>INVESTMENT RECOMMENDATION: GREENPOWER MOTOR COMPANY</w:t>
      </w:r>
    </w:p>
    <w:p w14:paraId="475B59D7">
      <w:pPr>
        <w:pStyle w:val="style0"/>
        <w:spacing w:after="360"/>
        <w:rPr/>
      </w:pPr>
      <w:r>
        <w:rPr>
          <w:rFonts w:ascii="Arial" w:hAnsi="Arial"/>
          <w:i/>
          <w:color w:val="5a6b7c"/>
          <w:sz w:val="22"/>
        </w:rPr>
        <w:t>Acquisition Decision, Scenario-Based Return Analysis, Value Creation Roadmap, and Suggested Deal Terms</w:t>
      </w:r>
    </w:p>
    <w:p w14:paraId="E42E2398">
      <w:pPr>
        <w:pStyle w:val="style0"/>
        <w:spacing w:before="280" w:after="120"/>
        <w:rPr/>
      </w:pPr>
      <w:r>
        <w:rPr>
          <w:rFonts w:ascii="Arial" w:hAnsi="Arial"/>
          <w:b/>
          <w:color w:val="102c57"/>
          <w:sz w:val="28"/>
        </w:rPr>
        <w:t>Section 1 — Investment Decision &amp; Recommendation</w:t>
      </w:r>
    </w:p>
    <w:p w14:paraId="E3E7EDEF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Recommendation: CONDITIONAL BUY / DISTRESSED TURNAROUND ACQUISITION. We recommend a structured private equity buyout of GreenPower Motor Company, contingent upon a deeply discounted entry price, comprehensive debt restructuring, and rigorous operational turnaround execution. Trading at a current market price of $1.19 per share, GreenPower exhibits severe financial distress, negative shareholders' equity, and heavy cash burn. However, our valuation modeling indicates that under a successful Turnaround Scenario, enterprise value can be unlocked to yield an equity value of $3.50 per share over a 5-year holding period, compared to $0.20 per share in a Downside/Liquidation case and $1.50 per share in a Base Case.</w:t>
      </w:r>
    </w:p>
    <w:p w14:paraId="84D7B3E9">
      <w:pPr>
        <w:pStyle w:val="style0"/>
        <w:spacing w:before="320" w:after="120"/>
        <w:rPr/>
      </w:pPr>
      <w:r>
        <w:rPr>
          <w:rFonts w:ascii="Arial" w:hAnsi="Arial"/>
          <w:b/>
          <w:color w:val="102c57"/>
          <w:sz w:val="28"/>
        </w:rPr>
        <w:t>Section 2 — Scenario-Based Return Analysis</w:t>
      </w:r>
    </w:p>
    <w:p w14:paraId="B33E1B0B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To evaluate risk-adjusted returns, we model three distinct operating scenarios over a 5-year private equity holding period (entry at current market price of $1.19):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1533"/>
        <w:gridCol w:w="1690"/>
        <w:gridCol w:w="1420"/>
        <w:gridCol w:w="2993"/>
      </w:tblGrid>
      <w:tr w14:paraId="A715CA00">
        <w:trPr>
          <w:jc w:val="center"/>
        </w:trPr>
        <w:tc>
          <w:tcPr>
            <w:tcW w:w="2160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A9A71696">
            <w:pPr>
              <w:pStyle w:val="style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Operating Scenario</w:t>
            </w:r>
          </w:p>
        </w:tc>
        <w:tc>
          <w:tcPr>
            <w:tcW w:w="1728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9F6B6FD3">
            <w:pPr>
              <w:pStyle w:val="style0"/>
              <w:jc w:val="righ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Implied Equity Value / Share</w:t>
            </w:r>
          </w:p>
        </w:tc>
        <w:tc>
          <w:tcPr>
            <w:tcW w:w="1872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9A8331D4">
            <w:pPr>
              <w:pStyle w:val="style0"/>
              <w:jc w:val="righ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Upside / Downside Multiple</w:t>
            </w:r>
          </w:p>
        </w:tc>
        <w:tc>
          <w:tcPr>
            <w:tcW w:w="1584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F7620DF9">
            <w:pPr>
              <w:pStyle w:val="style0"/>
              <w:jc w:val="righ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Implied 5-Year IRR</w:t>
            </w:r>
          </w:p>
        </w:tc>
        <w:tc>
          <w:tcPr>
            <w:tcW w:w="3456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A48229A3">
            <w:pPr>
              <w:pStyle w:val="style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Strategic Rationale</w:t>
            </w:r>
          </w:p>
        </w:tc>
      </w:tr>
      <w:tr w14:paraId="11665DD9">
        <w:tblPrEx/>
        <w:trPr>
          <w:jc w:val="center"/>
        </w:trPr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8C652852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Downside Case</w:t>
            </w:r>
          </w:p>
        </w:tc>
        <w:tc>
          <w:tcPr>
            <w:tcW w:w="172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81BFA33B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$0.20</w:t>
            </w:r>
          </w:p>
        </w:tc>
        <w:tc>
          <w:tcPr>
            <w:tcW w:w="187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9334B2FB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0.17x (-83.2%)</w:t>
            </w:r>
          </w:p>
        </w:tc>
        <w:tc>
          <w:tcPr>
            <w:tcW w:w="1584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96BA0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-30.1%</w:t>
            </w:r>
          </w:p>
        </w:tc>
        <w:tc>
          <w:tcPr>
            <w:tcW w:w="3456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9DA8B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Continued cash burn, insolvency, liquidation.</w:t>
            </w:r>
          </w:p>
        </w:tc>
      </w:tr>
      <w:tr w14:paraId="72BA18BB">
        <w:tblPrEx/>
        <w:trPr>
          <w:jc w:val="center"/>
        </w:trPr>
        <w:tc>
          <w:tcPr>
            <w:tcW w:w="2160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97D37319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Base Case</w:t>
            </w:r>
          </w:p>
        </w:tc>
        <w:tc>
          <w:tcPr>
            <w:tcW w:w="172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23605E1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$1.50</w:t>
            </w:r>
          </w:p>
        </w:tc>
        <w:tc>
          <w:tcPr>
            <w:tcW w:w="1872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AF239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1.26x (+26.1%)</w:t>
            </w:r>
          </w:p>
        </w:tc>
        <w:tc>
          <w:tcPr>
            <w:tcW w:w="1584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0201E8B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4.7%</w:t>
            </w:r>
          </w:p>
        </w:tc>
        <w:tc>
          <w:tcPr>
            <w:tcW w:w="3456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DC9471DA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Stagnant revenue, modest cost controls.</w:t>
            </w:r>
          </w:p>
        </w:tc>
      </w:tr>
      <w:tr w14:paraId="D090CD78">
        <w:tblPrEx/>
        <w:trPr>
          <w:jc w:val="center"/>
        </w:trPr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DDA66482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Turnaround Case</w:t>
            </w:r>
          </w:p>
        </w:tc>
        <w:tc>
          <w:tcPr>
            <w:tcW w:w="172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8701EA5A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$3.50</w:t>
            </w:r>
          </w:p>
        </w:tc>
        <w:tc>
          <w:tcPr>
            <w:tcW w:w="187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DCECE528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2.94x (+194.1%)</w:t>
            </w:r>
          </w:p>
        </w:tc>
        <w:tc>
          <w:tcPr>
            <w:tcW w:w="1584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DF8BAA74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24.1%</w:t>
            </w:r>
          </w:p>
        </w:tc>
        <w:tc>
          <w:tcPr>
            <w:tcW w:w="3456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A1FFDC5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Successful restructuring, scale, and margin expansion.</w:t>
            </w:r>
          </w:p>
        </w:tc>
      </w:tr>
    </w:tbl>
    <w:p w14:paraId="9FBE238B">
      <w:pPr>
        <w:pStyle w:val="style0"/>
        <w:spacing w:before="160" w:after="200"/>
        <w:rPr/>
      </w:pPr>
      <w:r>
        <w:rPr>
          <w:rFonts w:ascii="Arial" w:hAnsi="Arial"/>
          <w:i/>
          <w:color w:val="505050"/>
          <w:sz w:val="19"/>
        </w:rPr>
        <w:t>Target Return Threshold: For the investment to meet standard private equity hurdle rates (minimum 25% IRR), the acquisition must be executed at a distressed entry price or through a structured asset purchase agreement that eliminates legacy debt liabilities, targeting an effective entry valuation below $0.75 per share.</w:t>
      </w:r>
    </w:p>
    <w:p w14:paraId="AACC9FA9">
      <w:pPr>
        <w:pStyle w:val="style0"/>
        <w:spacing w:before="320" w:after="120"/>
        <w:rPr/>
      </w:pPr>
      <w:r>
        <w:rPr>
          <w:rFonts w:ascii="Arial" w:hAnsi="Arial"/>
          <w:b/>
          <w:color w:val="102c57"/>
          <w:sz w:val="28"/>
        </w:rPr>
        <w:t>Section 3 — Value Creation Roadmap</w:t>
      </w:r>
    </w:p>
    <w:p w14:paraId="CE34C1EA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To achieve the Turnaround Scenario, the PE acquirer will execute four targeted operational milestones:</w:t>
      </w:r>
    </w:p>
    <w:p w14:paraId="8FAFAAC5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SG&amp;A Cost Rationalization: </w:t>
      </w:r>
      <w:r>
        <w:rPr>
          <w:rFonts w:ascii="Arial" w:hAnsi="Arial"/>
          <w:color w:val="323232"/>
          <w:sz w:val="19"/>
        </w:rPr>
        <w:t>Slash corporate overhead by 35% within 12 months through facility consolidation in California and administrative streamlining, reducing SG&amp;A from 101% of revenue down to a competitive 25%.</w:t>
      </w:r>
    </w:p>
    <w:p w14:paraId="70C2CBCA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Manufacturing Utilization &amp; Scale: </w:t>
      </w:r>
      <w:r>
        <w:rPr>
          <w:rFonts w:ascii="Arial" w:hAnsi="Arial"/>
          <w:color w:val="323232"/>
          <w:sz w:val="19"/>
        </w:rPr>
        <w:t>Ramp West Virginia production throughput to achieve 60% plant capacity utilization within 24 months, absorbing fixed overhead and expanding gross margins from 11% to over 22%.</w:t>
      </w:r>
    </w:p>
    <w:p w14:paraId="1DC7385D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Product Mix Optimization: </w:t>
      </w:r>
      <w:r>
        <w:rPr>
          <w:rFonts w:ascii="Arial" w:hAnsi="Arial"/>
          <w:color w:val="323232"/>
          <w:sz w:val="19"/>
        </w:rPr>
        <w:t>Pivot commercial sales heavily toward high-margin purpose-built electric school buses (BEAST and Nano BEAST), capturing strong municipal demand and government subsidies.</w:t>
      </w:r>
    </w:p>
    <w:p w14:paraId="357E2C14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Working Capital Turnaround: </w:t>
      </w:r>
      <w:r>
        <w:rPr>
          <w:rFonts w:ascii="Arial" w:hAnsi="Arial"/>
          <w:color w:val="323232"/>
          <w:sz w:val="19"/>
        </w:rPr>
        <w:t xml:space="preserve"> Monetize excess inventory ($25.6M) and reduce inventory days from 529 days to under 120 days, releasing over $12M in trapped liquidity to fund operations without relying on high-cost debt.</w:t>
      </w:r>
    </w:p>
    <w:p w14:paraId="C5FC80CB">
      <w:pPr>
        <w:pStyle w:val="style0"/>
        <w:spacing w:before="320" w:after="120"/>
        <w:rPr/>
      </w:pPr>
      <w:r>
        <w:rPr>
          <w:rFonts w:ascii="Arial" w:hAnsi="Arial"/>
          <w:b/>
          <w:color w:val="102c57"/>
          <w:sz w:val="28"/>
        </w:rPr>
        <w:t>Section 4 — Suggested Deal Terms &amp; Protections</w:t>
      </w:r>
    </w:p>
    <w:p w14:paraId="B3B69E8C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To mitigate downside risk and align stakeholder incentives, the acquisition agreement should incorporate the following structural terms:</w:t>
      </w:r>
    </w:p>
    <w:p w14:paraId="52970989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Maximum Purchase Price &amp; Valuation Cap: </w:t>
      </w:r>
      <w:r>
        <w:rPr>
          <w:rFonts w:ascii="Arial" w:hAnsi="Arial"/>
          <w:color w:val="323232"/>
          <w:sz w:val="19"/>
        </w:rPr>
        <w:t>Cap equity purchase consideration at a maximum enterprise value reflecting a distressed multiple, with a baseline equity purchase price not exceeding $0.75 per share in cash.</w:t>
      </w:r>
    </w:p>
    <w:p w14:paraId="CA98064E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Earn-Out &amp; Performance Milestones: </w:t>
      </w:r>
      <w:r>
        <w:rPr>
          <w:rFonts w:ascii="Arial" w:hAnsi="Arial"/>
          <w:color w:val="323232"/>
          <w:sz w:val="19"/>
        </w:rPr>
        <w:t>Structure 30% of total consideration as an earn-out tied directly to achieving revenue stabilization ($35M+ run-rate) and positive EBITDA milestones over the first 24 post-closing months.</w:t>
      </w:r>
    </w:p>
    <w:p w14:paraId="61F3026D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Management Retention &amp; Equity Rollover: </w:t>
      </w:r>
      <w:r>
        <w:rPr>
          <w:rFonts w:ascii="Arial" w:hAnsi="Arial"/>
          <w:color w:val="323232"/>
          <w:sz w:val="19"/>
        </w:rPr>
        <w:t>Require key operational leadership to roll over 20% of their equity holdings and implement a performance-vesting management incentive pool tied to IRR hurdles.</w:t>
      </w:r>
    </w:p>
    <w:p w14:paraId="086DD7EA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Covenant Protections on Related-Party Transactions: </w:t>
      </w:r>
      <w:r>
        <w:rPr>
          <w:rFonts w:ascii="Arial" w:hAnsi="Arial"/>
          <w:color w:val="323232"/>
          <w:sz w:val="19"/>
        </w:rPr>
        <w:t>Enforce strict governance covenants prohibiting unsecured related-party loans, unfavorable vendor terms, or cash leakage to affiliates without unanimous board approval.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f651fe7-eb0c-40f3-8fbc-16bf8d29e9d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418b1b3-e6ff-41ff-883b-836844dad3b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3c5a14d-33f3-4e2a-98b5-7dddc839564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a3bf077-d115-432c-93c3-abaf388ddb7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fcf7b38-a93e-42a1-aa95-2452c479d3b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cf7620e7-a2ac-411a-9f84-2587df57041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3648d10-c59d-42ad-8c7d-9df7d4b59e60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92525a1-34a6-40cf-9446-5ffd722228a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4678f2f-bb1e-4ac7-a08a-da470e7e0f88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896601f-20bc-4fe3-a32a-d716c02e773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d021283d-e62d-4de2-995d-fe02ccb13d8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153378ef-86ad-4a64-bf6f-dcddb919338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7250fa9-e2c1-4962-ad6a-a49c9218cfb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740f8f4-8463-4d5f-99bf-46f960440fc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529</Words>
  <Pages>1</Pages>
  <Characters>3320</Characters>
  <Application>WPS Office</Application>
  <DocSecurity>0</DocSecurity>
  <Paragraphs>43</Paragraphs>
  <ScaleCrop>false</ScaleCrop>
  <LinksUpToDate>false</LinksUpToDate>
  <CharactersWithSpaces>3811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SM-G9910</lastModifiedBy>
  <dcterms:modified xsi:type="dcterms:W3CDTF">2026-07-23T19:23:16Z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03180a8cbe1645b9a8003722242362c1_23</vt:lpwstr>
  </property>
</Properties>
</file>