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alibri Light">
    <w:panose1 w:val="020F03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6B3F"/>
      <w:sz w:val="32"/>
      <w:szCs w:val="32"/>
    </w:rPr>
  </w:style>
  <w:style w:type="character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6B3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6B3F"/>
      <w:sz w:val="26"/>
      <w:szCs w:val="26"/>
    </w:rPr>
  </w:style>
  <w:style w:type="character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E6B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2C"/>
      <w:sz w:val="24"/>
      <w:szCs w:val="24"/>
    </w:rPr>
  </w:style>
  <w:style w:type="character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2C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6B3F"/>
    </w:rPr>
  </w:style>
  <w:style w:type="character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E6B3F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6B3F"/>
    </w:rPr>
  </w:style>
  <w:style w:type="character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E6B3F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2C"/>
    </w:rPr>
  </w:style>
  <w:style w:type="character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2C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2C"/>
    </w:rPr>
  </w:style>
  <w:style w:type="character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2C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character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IntenseQuoteChar">
    <w:name w:val="Intense Quote Char"/>
    <w:basedOn w:val="DefaultParagraphFont"/>
    <w:link w:val="IntenseQuote"/>
    <w:uiPriority w:val="30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Header">
    <w:name w:val="header"/>
    <w:basedOn w:val="Normal"/>
    <w:link w:val="Head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Folio Writer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revision>1</cp:revision>
</cp:coreProperties>
</file>