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alibri Light">
    <w:panose1 w:val="020F03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6B3F"/>
      <w:sz w:val="32"/>
      <w:szCs w:val="32"/>
    </w:rPr>
  </w:style>
  <w:style w:type="character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6B3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6B3F"/>
      <w:sz w:val="26"/>
      <w:szCs w:val="26"/>
    </w:rPr>
  </w:style>
  <w:style w:type="character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6B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2C"/>
      <w:sz w:val="24"/>
      <w:szCs w:val="24"/>
    </w:rPr>
  </w:style>
  <w:style w:type="character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2C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6B3F"/>
    </w:rPr>
  </w:style>
  <w:style w:type="character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6B3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6B3F"/>
    </w:rPr>
  </w:style>
  <w:style w:type="character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E6B3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2C"/>
    </w:rPr>
  </w:style>
  <w:style w:type="character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2C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2C"/>
    </w:rPr>
  </w:style>
  <w:style w:type="character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2C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character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>
    <w:name w:val="Intense Quote Char"/>
    <w:basedOn w:val="DefaultParagraphFont"/>
    <w:link w:val="IntenseQuote"/>
    <w:uiPriority w:val="30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Folio Page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revision>1</cp:revision>
</cp:coreProperties>
</file>