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B3A5C"/>
          <w:sz w:val="52"/>
          <w:szCs w:val="52"/>
        </w:rPr>
        <w:t xml:space="preserve">HEOR Evidence Intelligence Engine</w:t>
      </w:r>
    </w:p>
    <w:p>
      <w:pPr>
        <w:spacing w:before="0" w:after="80"/>
      </w:pPr>
      <w:r>
        <w:rPr>
          <w:rFonts w:ascii="Arial" w:cs="Arial" w:eastAsia="Arial" w:hAnsi="Arial"/>
          <w:i/>
          <w:iCs/>
          <w:color w:val="2563A8"/>
          <w:sz w:val="28"/>
          <w:szCs w:val="28"/>
        </w:rPr>
        <w:t xml:space="preserve">2-Week POC Sprint Plan</w:t>
      </w:r>
    </w:p>
    <w:p>
      <w:pPr>
        <w:spacing w:before="0" w:after="40"/>
      </w:pPr>
      <w:r>
        <w:rPr>
          <w:rFonts w:ascii="Arial" w:cs="Arial" w:eastAsia="Arial" w:hAnsi="Arial"/>
          <w:color w:val="555555"/>
          <w:sz w:val="22"/>
          <w:szCs w:val="22"/>
        </w:rPr>
        <w:t xml:space="preserve">HEOR Researcher-First Approach  |  RAG + Parallel LLM Fine-Tuning Workstream</w:t>
      </w:r>
    </w:p>
    <w:p>
      <w:pPr>
        <w:pBdr>
          <w:bottom w:val="single" w:color="2563A8" w:sz="6" w:space="6"/>
        </w:pBdr>
        <w:spacing w:before="0" w:after="320"/>
      </w:pPr>
      <w:r>
        <w:rPr>
          <w:rFonts w:ascii="Arial" w:cs="Arial" w:eastAsia="Arial" w:hAnsi="Arial"/>
          <w:color w:val="888888"/>
          <w:sz w:val="22"/>
          <w:szCs w:val="22"/>
        </w:rPr>
        <w:t xml:space="preserve">Gemsource  |  Confidential  |  March 2026</w:t>
      </w:r>
    </w:p>
    <w:p>
      <w:pPr>
        <w:spacing w:before="40" w:after="40"/>
      </w:pPr>
      <w:r>
        <w:t xml:space="preserve"/>
      </w:r>
    </w:p>
    <w:p>
      <w:pPr>
        <w:pStyle w:val="Heading1"/>
        <w:pBdr>
          <w:bottom w:val="single" w:color="2563A8" w:sz="6" w:space="4"/>
        </w:pBdr>
        <w:spacing w:before="360" w:after="160"/>
      </w:pPr>
      <w:r>
        <w:rPr>
          <w:rFonts w:ascii="Arial" w:cs="Arial" w:eastAsia="Arial" w:hAnsi="Arial"/>
          <w:b/>
          <w:bCs/>
          <w:color w:val="1B3A5C"/>
          <w:sz w:val="32"/>
          <w:szCs w:val="32"/>
        </w:rPr>
        <w:t xml:space="preserve">Strategic Approach</w:t>
      </w:r>
    </w:p>
    <w:p>
      <w:pPr>
        <w:spacing w:before="60" w:after="60"/>
      </w:pPr>
      <w:r>
        <w:rPr>
          <w:rFonts w:ascii="Arial" w:cs="Arial" w:eastAsia="Arial" w:hAnsi="Arial"/>
          <w:color w:val="1A1A1A"/>
          <w:sz w:val="22"/>
          <w:szCs w:val="22"/>
        </w:rPr>
        <w:t xml:space="preserve">This sprint plan is scoped with two deliberate design decisions that reflect strategic alignment between Gemsource and the product roadmap: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A8" w:sz="6"/>
              <w:left w:val="single" w:color="2563A8" w:sz="18"/>
              <w:bottom w:val="single" w:color="CCCCCC" w:sz="1"/>
              <w:right w:val="single" w:color="CCCCCC" w:sz="1"/>
            </w:tcBorders>
            <w:shd w:fill="EEF4FB" w:val="clear"/>
            <w:tcMar>
              <w:top w:type="dxa" w:w="140"/>
              <w:left w:type="dxa" w:w="240"/>
              <w:bottom w:type="dxa" w:w="140"/>
              <w:right w:type="dxa" w:w="180"/>
            </w:tcMar>
          </w:tcPr>
          <w:p>
            <w:pPr>
              <w:spacing w:before="0" w:after="80"/>
            </w:pPr>
            <w:r>
              <w:rPr>
                <w:rFonts w:ascii="Arial" w:cs="Arial" w:eastAsia="Arial" w:hAnsi="Arial"/>
                <w:b/>
                <w:bCs/>
                <w:caps/>
                <w:color w:val="2563A8"/>
                <w:sz w:val="18"/>
                <w:szCs w:val="18"/>
              </w:rPr>
              <w:t xml:space="preserve">Strategic Pivot</w:t>
            </w:r>
          </w:p>
          <w:p>
            <w:pPr>
              <w:spacing w:before="0" w:after="0"/>
            </w:pPr>
            <w:r>
              <w:rPr>
                <w:rFonts w:ascii="Arial" w:cs="Arial" w:eastAsia="Arial" w:hAnsi="Arial"/>
                <w:color w:val="1A1A1A"/>
                <w:sz w:val="21"/>
                <w:szCs w:val="21"/>
              </w:rPr>
              <w:t xml:space="preserve">Build one audience’s workflow to near-perfection before expanding. The HEOR researcher preparing an HTA submission is the primary user. Medical Affairs and payer-facing features are deferred to Alpha.</w:t>
            </w:r>
          </w:p>
        </w:tc>
      </w:tr>
    </w:tbl>
    <w:p>
      <w:pPr>
        <w:spacing w:before="40" w:after="40"/>
      </w:pPr>
      <w:r>
        <w:t xml:space="preserve"/>
      </w:r>
    </w:p>
    <w:p>
      <w:pPr>
        <w:pStyle w:val="ListParagraph"/>
        <w:numPr>
          <w:ilvl w:val="0"/>
          <w:numId w:val="2"/>
        </w:numPr>
        <w:spacing w:before="40" w:after="40"/>
      </w:pPr>
      <w:r>
        <w:rPr>
          <w:rFonts w:ascii="Arial" w:cs="Arial" w:eastAsia="Arial" w:hAnsi="Arial"/>
          <w:color w:val="1A1A1A"/>
          <w:sz w:val="22"/>
          <w:szCs w:val="22"/>
        </w:rPr>
        <w:t xml:space="preserve">Narrow the POC to a single audience: The HEOR researcher preparing an HTA submission is the primary user. Medical Affairs and payer-facing features are deferred to Alpha.</w:t>
      </w:r>
    </w:p>
    <w:p>
      <w:pPr>
        <w:pStyle w:val="ListParagraph"/>
        <w:numPr>
          <w:ilvl w:val="0"/>
          <w:numId w:val="2"/>
        </w:numPr>
        <w:spacing w:before="40" w:after="40"/>
      </w:pPr>
      <w:r>
        <w:rPr>
          <w:rFonts w:ascii="Arial" w:cs="Arial" w:eastAsia="Arial" w:hAnsi="Arial"/>
          <w:color w:val="1A1A1A"/>
          <w:sz w:val="22"/>
          <w:szCs w:val="22"/>
        </w:rPr>
        <w:t xml:space="preserve">Add a parallel LLM fine-tuning workstream: Evaluate open-source models (LLaMA, Qwen, Mistral) and begin structuring a training corpus (NICE decisions, Tufts CEA registry) toward a proprietary specialized HEOR LLM within 6 months. This workstream does not block the POC demo.</w:t>
      </w:r>
    </w:p>
    <w:p>
      <w:pPr>
        <w:spacing w:before="40" w:after="40"/>
      </w:pPr>
      <w:r>
        <w:t xml:space="preserve"/>
      </w:r>
    </w:p>
    <w:p>
      <w:pPr>
        <w:pStyle w:val="Heading2"/>
        <w:spacing w:before="280" w:after="120"/>
      </w:pPr>
      <w:r>
        <w:rPr>
          <w:rFonts w:ascii="Arial" w:cs="Arial" w:eastAsia="Arial" w:hAnsi="Arial"/>
          <w:b/>
          <w:bCs/>
          <w:color w:val="2563A8"/>
          <w:sz w:val="26"/>
          <w:szCs w:val="26"/>
        </w:rPr>
        <w:t xml:space="preserve">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Dimension</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Alternative Approach</w:t>
            </w:r>
          </w:p>
        </w:tc>
        <w:tc>
          <w:tcPr>
            <w:tcW w:type="dxa" w:w="39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Design Decision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Primary use case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Evidence search &amp; retrieval (RAG only)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 submission critique &amp; gap analysis for HEOR researchers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Target audience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HEOR + Medical Affairs + Payer from Day 1</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HEOR researcher only in POC; others deferred to Alpha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Model architecture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RAG with Claude API only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RAG now; parallel fine-tuning workstream for open-source LLM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Data strategy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Manually curated clinical document corpus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 decision corpus (NICE/ICER/CADTH) primary; clinical evidence secondary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Week 2 focus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Three audience mode switches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 critique refinement + LLM benchmarking</w:t>
            </w:r>
          </w:p>
        </w:tc>
      </w:tr>
    </w:tbl>
    <w:p>
      <w:pPr>
        <w:spacing w:before="40" w:after="40"/>
      </w:pPr>
      <w:r>
        <w:t xml:space="preserve"/>
      </w:r>
    </w:p>
    <w:p>
      <w:pPr>
        <w:pStyle w:val="Heading1"/>
        <w:pBdr>
          <w:bottom w:val="single" w:color="2563A8" w:sz="6" w:space="4"/>
        </w:pBdr>
        <w:spacing w:before="360" w:after="160"/>
      </w:pPr>
      <w:r>
        <w:rPr>
          <w:rFonts w:ascii="Arial" w:cs="Arial" w:eastAsia="Arial" w:hAnsi="Arial"/>
          <w:b/>
          <w:bCs/>
          <w:color w:val="1B3A5C"/>
          <w:sz w:val="32"/>
          <w:szCs w:val="32"/>
        </w:rPr>
        <w:t xml:space="preserve">1.  Executive Summary</w:t>
      </w:r>
    </w:p>
    <w:p>
      <w:pPr>
        <w:spacing w:before="60" w:after="60"/>
      </w:pPr>
      <w:r>
        <w:rPr>
          <w:rFonts w:ascii="Arial" w:cs="Arial" w:eastAsia="Arial" w:hAnsi="Arial"/>
          <w:color w:val="1A1A1A"/>
          <w:sz w:val="22"/>
          <w:szCs w:val="22"/>
        </w:rPr>
        <w:t xml:space="preserve">This plan builds a RAG-based evidence search and synthesis engine oriented around one high-value workflow: helping a HEOR researcher prepare and stress-test an HTA submission before it goes to NICE, ICER, or CADTH.</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A8" w:sz="6"/>
              <w:left w:val="single" w:color="2563A8" w:sz="18"/>
              <w:bottom w:val="single" w:color="CCCCCC" w:sz="1"/>
              <w:right w:val="single" w:color="CCCCCC" w:sz="1"/>
            </w:tcBorders>
            <w:shd w:fill="EEF4FB" w:val="clear"/>
            <w:tcMar>
              <w:top w:type="dxa" w:w="140"/>
              <w:left w:type="dxa" w:w="240"/>
              <w:bottom w:type="dxa" w:w="140"/>
              <w:right w:type="dxa" w:w="180"/>
            </w:tcMar>
          </w:tcPr>
          <w:p>
            <w:pPr>
              <w:spacing w:before="0" w:after="80"/>
            </w:pPr>
            <w:r>
              <w:rPr>
                <w:rFonts w:ascii="Arial" w:cs="Arial" w:eastAsia="Arial" w:hAnsi="Arial"/>
                <w:b/>
                <w:bCs/>
                <w:caps/>
                <w:color w:val="2563A8"/>
                <w:sz w:val="18"/>
                <w:szCs w:val="18"/>
              </w:rPr>
              <w:t xml:space="preserve">The Primary User Workflow</w:t>
            </w:r>
          </w:p>
          <w:p>
            <w:pPr>
              <w:spacing w:before="0" w:after="0"/>
            </w:pPr>
            <w:r>
              <w:rPr>
                <w:rFonts w:ascii="Arial" w:cs="Arial" w:eastAsia="Arial" w:hAnsi="Arial"/>
                <w:color w:val="1A1A1A"/>
                <w:sz w:val="21"/>
                <w:szCs w:val="21"/>
              </w:rPr>
              <w:t xml:space="preserve">“Here is the submission package I am preparing for NICE. Review it against known NICE precedents and the cost-effectiveness literature. Tell me where they will push back, what evidence I am missing, and what I should be prepared to defend.”
The tool responds with a structured, cited critique grounded in real HTA decisions — something a HEOR researcher can act on the same day.</w:t>
            </w:r>
          </w:p>
        </w:tc>
      </w:tr>
    </w:tbl>
    <w:p>
      <w:pPr>
        <w:spacing w:before="40" w:after="40"/>
      </w:pPr>
      <w:r>
        <w:t xml:space="preserve"/>
      </w:r>
    </w:p>
    <w:p>
      <w:pPr>
        <w:spacing w:before="60" w:after="60"/>
      </w:pPr>
      <w:r>
        <w:rPr>
          <w:rFonts w:ascii="Arial" w:cs="Arial" w:eastAsia="Arial" w:hAnsi="Arial"/>
          <w:color w:val="1A1A1A"/>
          <w:sz w:val="22"/>
          <w:szCs w:val="22"/>
        </w:rPr>
        <w:t xml:space="preserve">This is not a general evidence search tool. It is an HTA submission preparation assistant — domain-specific, critique-oriented, and grounded in precedent. Medical Affairs and payer features follow only after this use case is validated with a live client.</w:t>
      </w:r>
    </w:p>
    <w:p>
      <w:pPr>
        <w:spacing w:before="40" w:after="40"/>
      </w:pPr>
      <w:r>
        <w:t xml:space="preserve"/>
      </w:r>
    </w:p>
    <w:p>
      <w:pPr>
        <w:spacing w:before="60" w:after="60"/>
      </w:pPr>
      <w:r>
        <w:rPr>
          <w:rFonts w:ascii="Arial" w:cs="Arial" w:eastAsia="Arial" w:hAnsi="Arial"/>
          <w:color w:val="1A1A1A"/>
          <w:sz w:val="22"/>
          <w:szCs w:val="22"/>
        </w:rPr>
        <w:t xml:space="preserve">In parallel, Aditya will evaluate open-source base models and begin structuring the training corpus. This fine-tuning workstream does not block the POC demo; it feeds into the Alpha architecture and the investor narrative around proprietary IP.</w:t>
      </w:r>
    </w:p>
    <w:p>
      <w:pPr>
        <w:spacing w:before="40" w:after="40"/>
      </w:pPr>
      <w:r>
        <w:t xml:space="preserve"/>
      </w:r>
    </w:p>
    <w:p>
      <w:pPr>
        <w:pStyle w:val="Heading1"/>
        <w:pBdr>
          <w:bottom w:val="single" w:color="2563A8" w:sz="6" w:space="4"/>
        </w:pBdr>
        <w:spacing w:before="360" w:after="160"/>
      </w:pPr>
      <w:r>
        <w:rPr>
          <w:rFonts w:ascii="Arial" w:cs="Arial" w:eastAsia="Arial" w:hAnsi="Arial"/>
          <w:b/>
          <w:bCs/>
          <w:color w:val="1B3A5C"/>
          <w:sz w:val="32"/>
          <w:szCs w:val="32"/>
        </w:rPr>
        <w:t xml:space="preserve">2.  POC Objectives &amp; Success Criteria</w:t>
      </w:r>
    </w:p>
    <w:p>
      <w:pPr>
        <w:pStyle w:val="Heading2"/>
        <w:spacing w:before="280" w:after="120"/>
      </w:pPr>
      <w:r>
        <w:rPr>
          <w:rFonts w:ascii="Arial" w:cs="Arial" w:eastAsia="Arial" w:hAnsi="Arial"/>
          <w:b/>
          <w:bCs/>
          <w:color w:val="2563A8"/>
          <w:sz w:val="26"/>
          <w:szCs w:val="26"/>
        </w:rPr>
        <w:t xml:space="preserve">2.1  What the POC Demonstrates</w:t>
      </w:r>
    </w:p>
    <w:p>
      <w:pPr>
        <w:pStyle w:val="ListParagraph"/>
        <w:numPr>
          <w:ilvl w:val="0"/>
          <w:numId w:val="3"/>
        </w:numPr>
        <w:spacing w:before="40" w:after="40"/>
      </w:pPr>
      <w:r>
        <w:rPr>
          <w:rFonts w:ascii="Arial" w:cs="Arial" w:eastAsia="Arial" w:hAnsi="Arial"/>
          <w:color w:val="1A1A1A"/>
          <w:sz w:val="22"/>
          <w:szCs w:val="22"/>
        </w:rPr>
        <w:t xml:space="preserve">Natural language querying of HEOR evidence corpus (HTA appraisals, CEA publications, RCTs, SLR reports)</w:t>
      </w:r>
    </w:p>
    <w:p>
      <w:pPr>
        <w:pStyle w:val="ListParagraph"/>
        <w:numPr>
          <w:ilvl w:val="0"/>
          <w:numId w:val="3"/>
        </w:numPr>
        <w:spacing w:before="40" w:after="40"/>
      </w:pPr>
      <w:r>
        <w:rPr>
          <w:rFonts w:ascii="Arial" w:cs="Arial" w:eastAsia="Arial" w:hAnsi="Arial"/>
          <w:color w:val="1A1A1A"/>
          <w:sz w:val="22"/>
          <w:szCs w:val="22"/>
        </w:rPr>
        <w:t xml:space="preserve">HTA submission critique: user uploads a draft document and receives structured feedback grounded in NICE/ICER/CADTH precedent</w:t>
      </w:r>
    </w:p>
    <w:p>
      <w:pPr>
        <w:pStyle w:val="ListParagraph"/>
        <w:numPr>
          <w:ilvl w:val="0"/>
          <w:numId w:val="3"/>
        </w:numPr>
        <w:spacing w:before="40" w:after="40"/>
      </w:pPr>
      <w:r>
        <w:rPr>
          <w:rFonts w:ascii="Arial" w:cs="Arial" w:eastAsia="Arial" w:hAnsi="Arial"/>
          <w:color w:val="1A1A1A"/>
          <w:sz w:val="22"/>
          <w:szCs w:val="22"/>
        </w:rPr>
        <w:t xml:space="preserve">AI-generated answers with direct citations back to source documents, page numbers, and relevant excerpts</w:t>
      </w:r>
    </w:p>
    <w:p>
      <w:pPr>
        <w:pStyle w:val="ListParagraph"/>
        <w:numPr>
          <w:ilvl w:val="0"/>
          <w:numId w:val="3"/>
        </w:numPr>
        <w:spacing w:before="40" w:after="40"/>
      </w:pPr>
      <w:r>
        <w:rPr>
          <w:rFonts w:ascii="Arial" w:cs="Arial" w:eastAsia="Arial" w:hAnsi="Arial"/>
          <w:color w:val="1A1A1A"/>
          <w:sz w:val="22"/>
          <w:szCs w:val="22"/>
        </w:rPr>
        <w:t xml:space="preserve">Evidence gap identification: flags missing endpoints, subgroup analyses, or evidence categories HTA bodies have historically required</w:t>
      </w:r>
    </w:p>
    <w:p>
      <w:pPr>
        <w:pStyle w:val="ListParagraph"/>
        <w:numPr>
          <w:ilvl w:val="0"/>
          <w:numId w:val="3"/>
        </w:numPr>
        <w:spacing w:before="40" w:after="40"/>
      </w:pPr>
      <w:r>
        <w:rPr>
          <w:rFonts w:ascii="Arial" w:cs="Arial" w:eastAsia="Arial" w:hAnsi="Arial"/>
          <w:color w:val="1A1A1A"/>
          <w:sz w:val="22"/>
          <w:szCs w:val="22"/>
        </w:rPr>
        <w:t xml:space="preserve">HEOR-researcher-optimized output: detailed, statistical, technically rigorous — not simplified for a non-specialist</w:t>
      </w:r>
    </w:p>
    <w:p>
      <w:pPr>
        <w:pStyle w:val="ListParagraph"/>
        <w:numPr>
          <w:ilvl w:val="0"/>
          <w:numId w:val="3"/>
        </w:numPr>
        <w:spacing w:before="40" w:after="40"/>
      </w:pPr>
      <w:r>
        <w:rPr>
          <w:rFonts w:ascii="Arial" w:cs="Arial" w:eastAsia="Arial" w:hAnsi="Arial"/>
          <w:color w:val="1A1A1A"/>
          <w:sz w:val="22"/>
          <w:szCs w:val="22"/>
        </w:rPr>
        <w:t xml:space="preserve">LLM benchmark report: side-by-side comparison of fine-tuned open-source model vs. general LLM on HEOR-specific test questions</w:t>
      </w:r>
    </w:p>
    <w:p>
      <w:pPr>
        <w:spacing w:before="40" w:after="40"/>
      </w:pPr>
      <w:r>
        <w:t xml:space="preserve"/>
      </w:r>
    </w:p>
    <w:p>
      <w:pPr>
        <w:pStyle w:val="Heading2"/>
        <w:spacing w:before="280" w:after="120"/>
      </w:pPr>
      <w:r>
        <w:rPr>
          <w:rFonts w:ascii="Arial" w:cs="Arial" w:eastAsia="Arial" w:hAnsi="Arial"/>
          <w:b/>
          <w:bCs/>
          <w:color w:val="2563A8"/>
          <w:sz w:val="26"/>
          <w:szCs w:val="26"/>
        </w:rPr>
        <w:t xml:space="preserve">2.2  What the POC Does NOT Include (Deferred to Alpha)</w:t>
      </w:r>
    </w:p>
    <w:p>
      <w:pPr>
        <w:pStyle w:val="ListParagraph"/>
        <w:numPr>
          <w:ilvl w:val="0"/>
          <w:numId w:val="3"/>
        </w:numPr>
        <w:spacing w:before="40" w:after="40"/>
      </w:pPr>
      <w:r>
        <w:rPr>
          <w:rFonts w:ascii="Arial" w:cs="Arial" w:eastAsia="Arial" w:hAnsi="Arial"/>
          <w:color w:val="1A1A1A"/>
          <w:sz w:val="22"/>
          <w:szCs w:val="22"/>
        </w:rPr>
        <w:t xml:space="preserve">Medical Affairs audience mode</w:t>
      </w:r>
    </w:p>
    <w:p>
      <w:pPr>
        <w:pStyle w:val="ListParagraph"/>
        <w:numPr>
          <w:ilvl w:val="0"/>
          <w:numId w:val="3"/>
        </w:numPr>
        <w:spacing w:before="40" w:after="40"/>
      </w:pPr>
      <w:r>
        <w:rPr>
          <w:rFonts w:ascii="Arial" w:cs="Arial" w:eastAsia="Arial" w:hAnsi="Arial"/>
          <w:color w:val="1A1A1A"/>
          <w:sz w:val="22"/>
          <w:szCs w:val="22"/>
        </w:rPr>
        <w:t xml:space="preserve">Payer / Market Access response formatting</w:t>
      </w:r>
    </w:p>
    <w:p>
      <w:pPr>
        <w:pStyle w:val="ListParagraph"/>
        <w:numPr>
          <w:ilvl w:val="0"/>
          <w:numId w:val="3"/>
        </w:numPr>
        <w:spacing w:before="40" w:after="40"/>
      </w:pPr>
      <w:r>
        <w:rPr>
          <w:rFonts w:ascii="Arial" w:cs="Arial" w:eastAsia="Arial" w:hAnsi="Arial"/>
          <w:color w:val="1A1A1A"/>
          <w:sz w:val="22"/>
          <w:szCs w:val="22"/>
        </w:rPr>
        <w:t xml:space="preserve">Multi-tenancy, SSO, or production-grade security</w:t>
      </w:r>
    </w:p>
    <w:p>
      <w:pPr>
        <w:pStyle w:val="ListParagraph"/>
        <w:numPr>
          <w:ilvl w:val="0"/>
          <w:numId w:val="3"/>
        </w:numPr>
        <w:spacing w:before="40" w:after="40"/>
      </w:pPr>
      <w:r>
        <w:rPr>
          <w:rFonts w:ascii="Arial" w:cs="Arial" w:eastAsia="Arial" w:hAnsi="Arial"/>
          <w:color w:val="1A1A1A"/>
          <w:sz w:val="22"/>
          <w:szCs w:val="22"/>
        </w:rPr>
        <w:t xml:space="preserve">EHR, Veeva Vault, or SharePoint integration</w:t>
      </w:r>
    </w:p>
    <w:p>
      <w:pPr>
        <w:pStyle w:val="ListParagraph"/>
        <w:numPr>
          <w:ilvl w:val="0"/>
          <w:numId w:val="3"/>
        </w:numPr>
        <w:spacing w:before="40" w:after="40"/>
      </w:pPr>
      <w:r>
        <w:rPr>
          <w:rFonts w:ascii="Arial" w:cs="Arial" w:eastAsia="Arial" w:hAnsi="Arial"/>
          <w:color w:val="1A1A1A"/>
          <w:sz w:val="22"/>
          <w:szCs w:val="22"/>
        </w:rPr>
        <w:t xml:space="preserve">Fine-tuned model in production — this is a parallel workstream, not a POC dependency</w:t>
      </w:r>
    </w:p>
    <w:p>
      <w:pPr>
        <w:pStyle w:val="ListParagraph"/>
        <w:numPr>
          <w:ilvl w:val="0"/>
          <w:numId w:val="3"/>
        </w:numPr>
        <w:spacing w:before="40" w:after="40"/>
      </w:pPr>
      <w:r>
        <w:rPr>
          <w:rFonts w:ascii="Arial" w:cs="Arial" w:eastAsia="Arial" w:hAnsi="Arial"/>
          <w:color w:val="1A1A1A"/>
          <w:sz w:val="22"/>
          <w:szCs w:val="22"/>
        </w:rPr>
        <w:t xml:space="preserve">Automated document ingestion pipelines</w:t>
      </w:r>
    </w:p>
    <w:p>
      <w:pPr>
        <w:spacing w:before="40" w:after="40"/>
      </w:pPr>
      <w:r>
        <w:t xml:space="preserve"/>
      </w:r>
    </w:p>
    <w:p>
      <w:pPr>
        <w:pStyle w:val="Heading2"/>
        <w:spacing w:before="280" w:after="120"/>
      </w:pPr>
      <w:r>
        <w:rPr>
          <w:rFonts w:ascii="Arial" w:cs="Arial" w:eastAsia="Arial" w:hAnsi="Arial"/>
          <w:b/>
          <w:bCs/>
          <w:color w:val="2563A8"/>
          <w:sz w:val="26"/>
          <w:szCs w:val="26"/>
        </w:rPr>
        <w:t xml:space="preserve">2.3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Metric</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Target</w:t>
            </w:r>
          </w:p>
        </w:tc>
        <w:tc>
          <w:tcPr>
            <w:tcW w:type="dxa" w:w="4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Measurement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Query response accuracy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80%+ correct with valid citations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Manual review of 50 test queries by HEOR SME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 critique quality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3+ actionable critique points per submission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Vamsi review of 5 test submissions against known NICE appraisals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Response latency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&lt; 20 seconds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Automated timing on full pipeline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Citation precision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90%+ link to correct source passage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SME verification of citation-to-source mapping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LLM benchmark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Domain LLM outperforms general LLM on 3 of 5 HEOR questions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Side-by-side comparison documented by Aditya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Demo readiness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HEOR lead can operate without training in 5 minutes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Observed demo session with 2–3 internal users</w:t>
            </w:r>
          </w:p>
        </w:tc>
      </w:tr>
    </w:tbl>
    <w:p>
      <w:pPr>
        <w:spacing w:before="40" w:after="40"/>
      </w:pPr>
      <w:r>
        <w:t xml:space="preserve"/>
      </w:r>
    </w:p>
    <w:p>
      <w:pPr>
        <w:pStyle w:val="Heading1"/>
        <w:pBdr>
          <w:bottom w:val="single" w:color="2563A8" w:sz="6" w:space="4"/>
        </w:pBdr>
        <w:spacing w:before="360" w:after="160"/>
      </w:pPr>
      <w:r>
        <w:rPr>
          <w:rFonts w:ascii="Arial" w:cs="Arial" w:eastAsia="Arial" w:hAnsi="Arial"/>
          <w:b/>
          <w:bCs/>
          <w:color w:val="1B3A5C"/>
          <w:sz w:val="32"/>
          <w:szCs w:val="32"/>
        </w:rPr>
        <w:t xml:space="preserve">3.  Technical Architecture</w:t>
      </w:r>
    </w:p>
    <w:p>
      <w:pPr>
        <w:pStyle w:val="Heading2"/>
        <w:spacing w:before="280" w:after="120"/>
      </w:pPr>
      <w:r>
        <w:rPr>
          <w:rFonts w:ascii="Arial" w:cs="Arial" w:eastAsia="Arial" w:hAnsi="Arial"/>
          <w:b/>
          <w:bCs/>
          <w:color w:val="2563A8"/>
          <w:sz w:val="26"/>
          <w:szCs w:val="26"/>
        </w:rPr>
        <w:t xml:space="preserve">3.1  System Layers</w:t>
      </w:r>
    </w:p>
    <w:p>
      <w:pPr>
        <w:spacing w:before="60" w:after="60"/>
      </w:pPr>
      <w:r>
        <w:rPr>
          <w:rFonts w:ascii="Arial" w:cs="Arial" w:eastAsia="Arial" w:hAnsi="Arial"/>
          <w:color w:val="1A1A1A"/>
          <w:sz w:val="22"/>
          <w:szCs w:val="22"/>
        </w:rPr>
        <w:t xml:space="preserve">The POC uses a proven RAG stack with two additions: an HTA critique layer on top of the synthesis engine, and a parallel fine-tuning workstream. The architecture is designed so the fine-tuned open-source LLM plugs in as a drop-in replacement for the Claude API synthesis layer in Phase 2 — the POC investment is not wasted when we transition.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60"/>
        <w:gridCol w:w="3500"/>
      </w:tblGrid>
      <w:tr>
        <w:trPr>
          <w:tblHeader/>
        </w:trPr>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Layer</w:t>
            </w:r>
          </w:p>
        </w:tc>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Component</w:t>
            </w:r>
          </w:p>
        </w:tc>
        <w:tc>
          <w:tcPr>
            <w:tcW w:type="dxa" w:w="24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Technology</w:t>
            </w:r>
          </w:p>
        </w:tc>
        <w:tc>
          <w:tcPr>
            <w:tcW w:type="dxa" w:w="3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Purpose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1. Ingestion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Document Parser</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PyMuPDF + Unstructured.io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Extract text, tables, and figures from PDFs and DOCX files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2. Processing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Chunker + Embedder</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LlamaIndex + OpenAI Embeddings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HEOR-aware chunking; HTA committee sections preserved as atomic units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3. Storage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Vector DB + Metadata</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PostgreSQL + pgvector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Embeddings stored with extended HTA-specific metadata schema</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4. Retrieval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Hybrid Search</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LlamaIndex + BM25</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Semantic + keyword retrieval with HTA metadata filtering</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5. Synthesis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Evidence Query Mode</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Claude API → Fine-tuned LLM (Phase 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Cited answers for HEOR-specific questions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6. Critique (NEW)</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 Critique Engine</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Claude API + HTA precedent retrieval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Structured submission critique grounded in NICE/ICER/CADTH decisions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7. Training (parallel)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Model + Corpus Builder</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LLaMA / Qwen / Mistral (TBD)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Proprietary HEOR LLM; runs alongside POC without blocking it</w:t>
            </w:r>
          </w:p>
        </w:tc>
      </w:tr>
    </w:tbl>
    <w:p>
      <w:pPr>
        <w:spacing w:before="40" w:after="40"/>
      </w:pPr>
      <w:r>
        <w:t xml:space="preserve"/>
      </w:r>
    </w:p>
    <w:p>
      <w:pPr>
        <w:pStyle w:val="Heading2"/>
        <w:spacing w:before="280" w:after="120"/>
      </w:pPr>
      <w:r>
        <w:rPr>
          <w:rFonts w:ascii="Arial" w:cs="Arial" w:eastAsia="Arial" w:hAnsi="Arial"/>
          <w:b/>
          <w:bCs/>
          <w:color w:val="2563A8"/>
          <w:sz w:val="26"/>
          <w:szCs w:val="26"/>
        </w:rPr>
        <w:t xml:space="preserve">3.2  New: HTA Critique Mode</w:t>
      </w:r>
    </w:p>
    <w:p>
      <w:pPr>
        <w:spacing w:before="60" w:after="60"/>
      </w:pPr>
      <w:r>
        <w:rPr>
          <w:rFonts w:ascii="Arial" w:cs="Arial" w:eastAsia="Arial" w:hAnsi="Arial"/>
          <w:color w:val="1A1A1A"/>
          <w:sz w:val="22"/>
          <w:szCs w:val="22"/>
        </w:rPr>
        <w:t xml:space="preserve">When a user uploads a draft HTA submission, the system:</w:t>
      </w:r>
    </w:p>
    <w:p>
      <w:pPr>
        <w:pStyle w:val="ListParagraph"/>
        <w:numPr>
          <w:ilvl w:val="0"/>
          <w:numId w:val="2"/>
        </w:numPr>
        <w:spacing w:before="40" w:after="40"/>
      </w:pPr>
      <w:r>
        <w:rPr>
          <w:rFonts w:ascii="Arial" w:cs="Arial" w:eastAsia="Arial" w:hAnsi="Arial"/>
          <w:color w:val="1A1A1A"/>
          <w:sz w:val="22"/>
          <w:szCs w:val="22"/>
        </w:rPr>
        <w:t xml:space="preserve">Parses the submission and identifies key sections: clinical evidence, economic model, comparators, patient population definition</w:t>
      </w:r>
    </w:p>
    <w:p>
      <w:pPr>
        <w:pStyle w:val="ListParagraph"/>
        <w:numPr>
          <w:ilvl w:val="0"/>
          <w:numId w:val="2"/>
        </w:numPr>
        <w:spacing w:before="40" w:after="40"/>
      </w:pPr>
      <w:r>
        <w:rPr>
          <w:rFonts w:ascii="Arial" w:cs="Arial" w:eastAsia="Arial" w:hAnsi="Arial"/>
          <w:color w:val="1A1A1A"/>
          <w:sz w:val="22"/>
          <w:szCs w:val="22"/>
        </w:rPr>
        <w:t xml:space="preserve">Retrieves the most relevant prior NICE, ICER, and CADTH decisions for the same indication and drug class</w:t>
      </w:r>
    </w:p>
    <w:p>
      <w:pPr>
        <w:pStyle w:val="ListParagraph"/>
        <w:numPr>
          <w:ilvl w:val="0"/>
          <w:numId w:val="2"/>
        </w:numPr>
        <w:spacing w:before="40" w:after="40"/>
      </w:pPr>
      <w:r>
        <w:rPr>
          <w:rFonts w:ascii="Arial" w:cs="Arial" w:eastAsia="Arial" w:hAnsi="Arial"/>
          <w:color w:val="1A1A1A"/>
          <w:sz w:val="22"/>
          <w:szCs w:val="22"/>
        </w:rPr>
        <w:t xml:space="preserve">Generates a structured critique in three sections: (a) Likely Pushback Areas — citing specific prior appraisals; (b) Missing Evidence — categories HTA bodies have historically required; (c) Well-Supported Sections — where the submission is strong</w:t>
      </w:r>
    </w:p>
    <w:p>
      <w:pPr>
        <w:pStyle w:val="ListParagraph"/>
        <w:numPr>
          <w:ilvl w:val="0"/>
          <w:numId w:val="2"/>
        </w:numPr>
        <w:spacing w:before="40" w:after="40"/>
      </w:pPr>
      <w:r>
        <w:rPr>
          <w:rFonts w:ascii="Arial" w:cs="Arial" w:eastAsia="Arial" w:hAnsi="Arial"/>
          <w:color w:val="1A1A1A"/>
          <w:sz w:val="22"/>
          <w:szCs w:val="22"/>
        </w:rPr>
        <w:t xml:space="preserve">Produces a prioritized action list the researcher should address before submission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A8" w:sz="6"/>
              <w:left w:val="single" w:color="2563A8" w:sz="18"/>
              <w:bottom w:val="single" w:color="CCCCCC" w:sz="1"/>
              <w:right w:val="single" w:color="CCCCCC" w:sz="1"/>
            </w:tcBorders>
            <w:shd w:fill="EEF4FB" w:val="clear"/>
            <w:tcMar>
              <w:top w:type="dxa" w:w="140"/>
              <w:left w:type="dxa" w:w="240"/>
              <w:bottom w:type="dxa" w:w="140"/>
              <w:right w:type="dxa" w:w="180"/>
            </w:tcMar>
          </w:tcPr>
          <w:p>
            <w:pPr>
              <w:spacing w:before="0" w:after="80"/>
            </w:pPr>
            <w:r>
              <w:rPr>
                <w:rFonts w:ascii="Arial" w:cs="Arial" w:eastAsia="Arial" w:hAnsi="Arial"/>
                <w:b/>
                <w:bCs/>
                <w:caps/>
                <w:color w:val="2563A8"/>
                <w:sz w:val="18"/>
                <w:szCs w:val="18"/>
              </w:rPr>
              <w:t xml:space="preserve">The Core Differentiation</w:t>
            </w:r>
          </w:p>
          <w:p>
            <w:pPr>
              <w:spacing w:before="0" w:after="0"/>
            </w:pPr>
            <w:r>
              <w:rPr>
                <w:rFonts w:ascii="Arial" w:cs="Arial" w:eastAsia="Arial" w:hAnsi="Arial"/>
                <w:color w:val="1A1A1A"/>
                <w:sz w:val="21"/>
                <w:szCs w:val="21"/>
              </w:rPr>
              <w:t xml:space="preserve">General LLMs can answer evidence questions. Only a domain-specific tool trained on actual HTA precedent can tell a researcher: “NICE will challenge your comparator choice — they have done so in the last three appraisals of this drug class.” That is the statement that makes a HEOR researcher say they need this tool.</w:t>
            </w:r>
          </w:p>
        </w:tc>
      </w:tr>
    </w:tbl>
    <w:p>
      <w:pPr>
        <w:spacing w:before="40" w:after="40"/>
      </w:pPr>
      <w:r>
        <w:t xml:space="preserve"/>
      </w:r>
    </w:p>
    <w:p>
      <w:pPr>
        <w:pStyle w:val="Heading2"/>
        <w:spacing w:before="280" w:after="120"/>
      </w:pPr>
      <w:r>
        <w:rPr>
          <w:rFonts w:ascii="Arial" w:cs="Arial" w:eastAsia="Arial" w:hAnsi="Arial"/>
          <w:b/>
          <w:bCs/>
          <w:color w:val="2563A8"/>
          <w:sz w:val="26"/>
          <w:szCs w:val="26"/>
        </w:rPr>
        <w:t xml:space="preserve">3.3  Extended Metadata Schema for HTA Critique</w:t>
      </w:r>
    </w:p>
    <w:p>
      <w:pPr>
        <w:spacing w:before="60" w:after="60"/>
      </w:pPr>
      <w:r>
        <w:rPr>
          <w:rFonts w:ascii="Arial" w:cs="Arial" w:eastAsia="Arial" w:hAnsi="Arial"/>
          <w:color w:val="1A1A1A"/>
          <w:sz w:val="22"/>
          <w:szCs w:val="22"/>
        </w:rPr>
        <w:t xml:space="preserve">The metadata schema includes HTA-specific fields that power the critique engine: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New Field</w:t>
            </w:r>
          </w:p>
        </w:tc>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5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Example Values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hta_body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NICE, ICER, CADTH, SMC, G-BA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appraisal_outcome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recommended, restricted, rejected, terminated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key_clinical_uncertainties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array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["OS maturity", "crossover adjustment", "indirect comparison validity"]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committee_pushback_areas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array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["comparator choice", "PFS as surrogate", "utility values"]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economic_model_concerns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array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["discount rate", "treatment duration", "model structure"]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appraisal_indication_line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first_line, second_line, adjuvant, maintenance</w:t>
            </w:r>
          </w:p>
        </w:tc>
      </w:tr>
    </w:tbl>
    <w:p>
      <w:pPr>
        <w:spacing w:before="40" w:after="40"/>
      </w:pPr>
      <w:r>
        <w:t xml:space="preserve"/>
      </w:r>
    </w:p>
    <w:p>
      <w:pPr>
        <w:pStyle w:val="Heading2"/>
        <w:spacing w:before="280" w:after="120"/>
      </w:pPr>
      <w:r>
        <w:rPr>
          <w:rFonts w:ascii="Arial" w:cs="Arial" w:eastAsia="Arial" w:hAnsi="Arial"/>
          <w:b/>
          <w:bCs/>
          <w:color w:val="2563A8"/>
          <w:sz w:val="26"/>
          <w:szCs w:val="26"/>
        </w:rPr>
        <w:t xml:space="preserve">3.4  Parallel Workstream: Open-Source LLM Fine-Tuning</w:t>
      </w:r>
    </w:p>
    <w:p>
      <w:pPr>
        <w:spacing w:before="60" w:after="60"/>
      </w:pPr>
      <w:r>
        <w:rPr>
          <w:rFonts w:ascii="Arial" w:cs="Arial" w:eastAsia="Arial" w:hAnsi="Arial"/>
          <w:color w:val="1A1A1A"/>
          <w:sz w:val="22"/>
          <w:szCs w:val="22"/>
        </w:rPr>
        <w:t xml:space="preserve">Aditya executes this in parallel — it does not block the POC demo:</w:t>
      </w:r>
    </w:p>
    <w:p>
      <w:pPr>
        <w:spacing w:before="40" w:after="40"/>
      </w:pPr>
      <w:r>
        <w:t xml:space="preserve"/>
      </w:r>
    </w:p>
    <w:p>
      <w:pPr>
        <w:pStyle w:val="ListParagraph"/>
        <w:numPr>
          <w:ilvl w:val="0"/>
          <w:numId w:val="3"/>
        </w:numPr>
        <w:spacing w:before="40" w:after="40"/>
      </w:pPr>
      <w:r>
        <w:rPr>
          <w:rFonts w:ascii="Arial" w:cs="Arial" w:eastAsia="Arial" w:hAnsi="Arial"/>
          <w:b/>
          <w:bCs/>
          <w:color w:val="1A1A1A"/>
          <w:sz w:val="22"/>
          <w:szCs w:val="22"/>
        </w:rPr>
        <w:t xml:space="preserve">Model evaluation: </w:t>
      </w:r>
      <w:r>
        <w:rPr>
          <w:rFonts w:ascii="Arial" w:cs="Arial" w:eastAsia="Arial" w:hAnsi="Arial"/>
          <w:color w:val="1A1A1A"/>
          <w:sz w:val="22"/>
          <w:szCs w:val="22"/>
        </w:rPr>
        <w:t xml:space="preserve">Model evaluation (Days 1–4): Run 20 standardized HEOR test questions against LLaMA 3, Qwen 2.5, and Mistral. Score baseline domain knowledge in cost-effectiveness, HTA methodology, and pharmacoeconomics. Select best candidate for fine-tuning.</w:t>
      </w:r>
    </w:p>
    <w:p>
      <w:pPr>
        <w:pStyle w:val="ListParagraph"/>
        <w:numPr>
          <w:ilvl w:val="0"/>
          <w:numId w:val="3"/>
        </w:numPr>
        <w:spacing w:before="40" w:after="40"/>
      </w:pPr>
      <w:r>
        <w:rPr>
          <w:rFonts w:ascii="Arial" w:cs="Arial" w:eastAsia="Arial" w:hAnsi="Arial"/>
          <w:b/>
          <w:bCs/>
          <w:color w:val="1A1A1A"/>
          <w:sz w:val="22"/>
          <w:szCs w:val="22"/>
        </w:rPr>
        <w:t xml:space="preserve">Corpus structuring: </w:t>
      </w:r>
      <w:r>
        <w:rPr>
          <w:rFonts w:ascii="Arial" w:cs="Arial" w:eastAsia="Arial" w:hAnsi="Arial"/>
          <w:color w:val="1A1A1A"/>
          <w:sz w:val="22"/>
          <w:szCs w:val="22"/>
        </w:rPr>
        <w:t xml:space="preserve">Training corpus structuring (Days 4–10): Convert the Tufts CEA registry export and NICE decisions dataset into LLM instruction-response fine-tuning format. Estimated ~50,000 records — well within fine-tuning feasibility.</w:t>
      </w:r>
    </w:p>
    <w:p>
      <w:pPr>
        <w:pStyle w:val="ListParagraph"/>
        <w:numPr>
          <w:ilvl w:val="0"/>
          <w:numId w:val="3"/>
        </w:numPr>
        <w:spacing w:before="40" w:after="40"/>
      </w:pPr>
      <w:r>
        <w:rPr>
          <w:rFonts w:ascii="Arial" w:cs="Arial" w:eastAsia="Arial" w:hAnsi="Arial"/>
          <w:b/>
          <w:bCs/>
          <w:color w:val="1A1A1A"/>
          <w:sz w:val="22"/>
          <w:szCs w:val="22"/>
        </w:rPr>
        <w:t xml:space="preserve">Benchmark design: </w:t>
      </w:r>
      <w:r>
        <w:rPr>
          <w:rFonts w:ascii="Arial" w:cs="Arial" w:eastAsia="Arial" w:hAnsi="Arial"/>
          <w:color w:val="1A1A1A"/>
          <w:sz w:val="22"/>
          <w:szCs w:val="22"/>
        </w:rPr>
        <w:t xml:space="preserve">Benchmark design: Define evaluation framework for comparing fine-tuned model vs. general LLM on HEOR tasks. Use a third-party model (OpenAI or Claude) as judge for side-by-side response evaluation.</w:t>
      </w:r>
    </w:p>
    <w:p>
      <w:pPr>
        <w:spacing w:before="40" w:after="40"/>
      </w:pPr>
      <w:r>
        <w:t xml:space="preserve"/>
      </w:r>
    </w:p>
    <w:p>
      <w:pPr>
        <w:pStyle w:val="Heading1"/>
        <w:pBdr>
          <w:bottom w:val="single" w:color="2563A8" w:sz="6" w:space="4"/>
        </w:pBdr>
        <w:spacing w:before="360" w:after="160"/>
      </w:pPr>
      <w:r>
        <w:rPr>
          <w:rFonts w:ascii="Arial" w:cs="Arial" w:eastAsia="Arial" w:hAnsi="Arial"/>
          <w:b/>
          <w:bCs/>
          <w:color w:val="1B3A5C"/>
          <w:sz w:val="32"/>
          <w:szCs w:val="32"/>
        </w:rPr>
        <w:t xml:space="preserve">4.  Two-Week Sprint Plan</w:t>
      </w:r>
    </w:p>
    <w:p>
      <w:pPr>
        <w:pStyle w:val="Heading2"/>
        <w:spacing w:before="280" w:after="120"/>
      </w:pPr>
      <w:r>
        <w:rPr>
          <w:rFonts w:ascii="Arial" w:cs="Arial" w:eastAsia="Arial" w:hAnsi="Arial"/>
          <w:b/>
          <w:bCs/>
          <w:color w:val="2563A8"/>
          <w:sz w:val="26"/>
          <w:szCs w:val="26"/>
        </w:rPr>
        <w:t xml:space="preserve">Team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Role</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Person</w:t>
            </w:r>
          </w:p>
        </w:tc>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Allocation</w:t>
            </w:r>
          </w:p>
        </w:tc>
        <w:tc>
          <w:tcPr>
            <w:tcW w:type="dxa" w:w="41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Responsibilities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Lead Engineer (RAG)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Senior ML Engineer (India)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100%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RAG pipeline, LLM integration, HTA critique engine, chunking strategy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LLM Research (parallel)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Aditya (India)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100%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Model evaluation, training corpus structuring, fine-tuning architecture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Frontend (Week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Full Stack Developer (India)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50%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Streamlit UI, document upload interface, critique output display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Domain SME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Vamsi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15–20%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HEOR validation, test queries, HTA critique quality review, corpus curation</w:t>
            </w:r>
          </w:p>
        </w:tc>
      </w:tr>
    </w:tbl>
    <w:p>
      <w:pPr>
        <w:spacing w:before="40" w:after="40"/>
      </w:pPr>
      <w:r>
        <w:t xml:space="preserve"/>
      </w:r>
    </w:p>
    <w:p>
      <w:pPr>
        <w:pStyle w:val="Heading2"/>
        <w:spacing w:before="280" w:after="120"/>
      </w:pPr>
      <w:r>
        <w:rPr>
          <w:rFonts w:ascii="Arial" w:cs="Arial" w:eastAsia="Arial" w:hAnsi="Arial"/>
          <w:b/>
          <w:bCs/>
          <w:color w:val="2563A8"/>
          <w:sz w:val="26"/>
          <w:szCs w:val="26"/>
        </w:rPr>
        <w:t xml:space="preserve">Week 1: Foundation, RAG Pipeline &amp; HTA Critique Engine</w:t>
      </w:r>
    </w:p>
    <w:p>
      <w:pPr>
        <w:spacing w:before="200" w:after="80"/>
      </w:pPr>
      <w:r>
        <w:rPr>
          <w:rFonts w:ascii="Arial" w:cs="Arial" w:eastAsia="Arial" w:hAnsi="Arial"/>
          <w:b/>
          <w:bCs/>
          <w:color w:val="1B3A5C"/>
          <w:sz w:val="23"/>
          <w:szCs w:val="23"/>
        </w:rPr>
        <w:t xml:space="preserve">Day 1–2  |  Environment Setup &amp; HTA-Focused Document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Task</w:t>
            </w:r>
          </w:p>
        </w:tc>
        <w:tc>
          <w:tcPr>
            <w:tcW w:type="dxa" w:w="4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Details</w:t>
            </w:r>
          </w:p>
        </w:tc>
        <w:tc>
          <w:tcPr>
            <w:tcW w:type="dxa" w:w="2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Output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Dev environment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Docker Compose with PostgreSQL + pgvector, FastAPI scaffold, Python virtual environment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Running local dev stack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 corpus (primary)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20–30 NICE Technology Appraisals (oncology, rare disease, immunology); 10–15 ICER Evidence Reports; 5–8 CADTH recommendations; Tufts CEA registry structured export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Organized in /data/hta/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Clinical evidence corpus (secondary)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15–20 landmark RCT publications (KEYNOTE, CheckMate, IMpower series); 5 SLR/NMA reports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Organized in /data/clinical/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 metadata schema</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Define metadata schema with HTA-specific fields: hta_body, appraisal_outcome, committee_pushback_areas[], key_clinical_uncertainties[], economic_model_concerns[]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hta_metadata_schema.json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Aditya: LLM evaluation begins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Run 20 standardized HEOR questions against LLaMA 3, Qwen 2.5, Mistral. Score baseline domain knowledge.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llm_baseline_scores.md</w:t>
            </w:r>
          </w:p>
        </w:tc>
      </w:tr>
    </w:tbl>
    <w:p>
      <w:pPr>
        <w:spacing w:before="40" w:after="40"/>
      </w:pPr>
      <w:r>
        <w:t xml:space="preserve"/>
      </w:r>
    </w:p>
    <w:p>
      <w:pPr>
        <w:spacing w:before="200" w:after="80"/>
      </w:pPr>
      <w:r>
        <w:rPr>
          <w:rFonts w:ascii="Arial" w:cs="Arial" w:eastAsia="Arial" w:hAnsi="Arial"/>
          <w:b/>
          <w:bCs/>
          <w:color w:val="1B3A5C"/>
          <w:sz w:val="23"/>
          <w:szCs w:val="23"/>
        </w:rPr>
        <w:t xml:space="preserve">Day 3–4  |  HEOR-Aware Chunking &amp; Vector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Task</w:t>
            </w:r>
          </w:p>
        </w:tc>
        <w:tc>
          <w:tcPr>
            <w:tcW w:type="dxa" w:w="4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Details</w:t>
            </w:r>
          </w:p>
        </w:tc>
        <w:tc>
          <w:tcPr>
            <w:tcW w:type="dxa" w:w="2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Output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Chunking pipeline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Hierarchical: section-level preserving headers; paragraph-level with 256-token overlap; tables as complete units. Target chunk size: 512–1024 tokens.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chunk_documents.py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HTA-specific chunk rules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Preserve as atomic units: NICE committee discussion sections, Areas of Uncertainty lists, economic model critique sections, recommendation text with full surrounding context. These are the primary critique engine signal.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Custom node parsers in LlamaIndex</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Embedding generation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Batch embed all chunks using OpenAI text-embedding-3-small; store in pgvector with full HTA metadata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Populated vector database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Retrieval test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Run 10 test queries manually; verify top-k returns relevant HTA chunks; tune similarity threshold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retrieval_test_results.md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Aditya: Model selection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Complete LLM evaluation; select best candidate; report findings to Vamsi</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llm_evaluation_report.md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A8" w:sz="6"/>
              <w:left w:val="single" w:color="2563A8" w:sz="18"/>
              <w:bottom w:val="single" w:color="CCCCCC" w:sz="1"/>
              <w:right w:val="single" w:color="CCCCCC" w:sz="1"/>
            </w:tcBorders>
            <w:shd w:fill="EEF4FB" w:val="clear"/>
            <w:tcMar>
              <w:top w:type="dxa" w:w="140"/>
              <w:left w:type="dxa" w:w="240"/>
              <w:bottom w:type="dxa" w:w="140"/>
              <w:right w:type="dxa" w:w="180"/>
            </w:tcMar>
          </w:tcPr>
          <w:p>
            <w:pPr>
              <w:spacing w:before="0" w:after="80"/>
            </w:pPr>
            <w:r>
              <w:rPr>
                <w:rFonts w:ascii="Arial" w:cs="Arial" w:eastAsia="Arial" w:hAnsi="Arial"/>
                <w:b/>
                <w:bCs/>
                <w:caps/>
                <w:color w:val="2563A8"/>
                <w:sz w:val="18"/>
                <w:szCs w:val="18"/>
              </w:rPr>
              <w:t xml:space="preserve">Critical Design Decision: Chunking Strategy</w:t>
            </w:r>
          </w:p>
          <w:p>
            <w:pPr>
              <w:spacing w:before="0" w:after="0"/>
            </w:pPr>
            <w:r>
              <w:rPr>
                <w:rFonts w:ascii="Arial" w:cs="Arial" w:eastAsia="Arial" w:hAnsi="Arial"/>
                <w:color w:val="1A1A1A"/>
                <w:sz w:val="21"/>
                <w:szCs w:val="21"/>
              </w:rPr>
              <w:t xml:space="preserve">NICE Technology Appraisals contain structured “Committee Considerations” and “Areas of Uncertainty” sections that are the ground truth for HTA pushback patterns. These must be preserved as complete, atomic chunks. Splitting them destroys the critique engine’s primary signal. This is the single most important technical decision in the POC.</w:t>
            </w:r>
          </w:p>
        </w:tc>
      </w:tr>
    </w:tbl>
    <w:p>
      <w:pPr>
        <w:spacing w:before="40" w:after="40"/>
      </w:pPr>
      <w:r>
        <w:t xml:space="preserve"/>
      </w:r>
    </w:p>
    <w:p>
      <w:pPr>
        <w:spacing w:before="200" w:after="80"/>
      </w:pPr>
      <w:r>
        <w:rPr>
          <w:rFonts w:ascii="Arial" w:cs="Arial" w:eastAsia="Arial" w:hAnsi="Arial"/>
          <w:b/>
          <w:bCs/>
          <w:color w:val="1B3A5C"/>
          <w:sz w:val="23"/>
          <w:szCs w:val="23"/>
        </w:rPr>
        <w:t xml:space="preserve">Day 5  |  LLM Integration, Citation Engine &amp; HTA Critique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Task</w:t>
            </w:r>
          </w:p>
        </w:tc>
        <w:tc>
          <w:tcPr>
            <w:tcW w:type="dxa" w:w="4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Details</w:t>
            </w:r>
          </w:p>
        </w:tc>
        <w:tc>
          <w:tcPr>
            <w:tcW w:type="dxa" w:w="2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Output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Base RAG pipeline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Wire end-to-end: query → embed → retrieve → prompt assembly → Claude API → parse → format output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Working E2E pipeline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 critique prompt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Specialized system prompt: parse submission sections; retrieve precedent decisions; generate prioritized pushback areas with citations; flag missing evidence categories; note well-supported sections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critique_system_prompt.txt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Citation engine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Validate citations map to retrieved chunks; generate clickable source links; display HTA appraisal excerpts alongside critique points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citation_engine.py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SME Review #1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Vamsi runs 20 evidence queries AND uploads 1 test HTA submission document; scores accuracy and critique quality; documents failure modes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Week 1 review notes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Aditya: Corpus structuring begins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Convert Tufts CEA registry export and NICE decisions into LLM instruction-response fine-tuning format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training_corpus_v0.jsonl</w:t>
            </w:r>
          </w:p>
        </w:tc>
      </w:tr>
    </w:tbl>
    <w:p>
      <w:pPr>
        <w:spacing w:before="40" w:after="40"/>
      </w:pPr>
      <w:r>
        <w:t xml:space="preserve"/>
      </w:r>
    </w:p>
    <w:p>
      <w:pPr>
        <w:pStyle w:val="Heading2"/>
        <w:spacing w:before="280" w:after="120"/>
      </w:pPr>
      <w:r>
        <w:rPr>
          <w:rFonts w:ascii="Arial" w:cs="Arial" w:eastAsia="Arial" w:hAnsi="Arial"/>
          <w:b/>
          <w:bCs/>
          <w:color w:val="2563A8"/>
          <w:sz w:val="26"/>
          <w:szCs w:val="26"/>
        </w:rPr>
        <w:t xml:space="preserve">Week 2: Critique Refinement, UI &amp; Demo Readiness</w:t>
      </w:r>
    </w:p>
    <w:p>
      <w:pPr>
        <w:spacing w:before="200" w:after="80"/>
      </w:pPr>
      <w:r>
        <w:rPr>
          <w:rFonts w:ascii="Arial" w:cs="Arial" w:eastAsia="Arial" w:hAnsi="Arial"/>
          <w:b/>
          <w:bCs/>
          <w:color w:val="1B3A5C"/>
          <w:sz w:val="23"/>
          <w:szCs w:val="23"/>
        </w:rPr>
        <w:t xml:space="preserve">Day 6–7  |  Streamlit Frontend — Dual-Mode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Task</w:t>
            </w:r>
          </w:p>
        </w:tc>
        <w:tc>
          <w:tcPr>
            <w:tcW w:type="dxa" w:w="4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Details</w:t>
            </w:r>
          </w:p>
        </w:tc>
        <w:tc>
          <w:tcPr>
            <w:tcW w:type="dxa" w:w="2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Output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Mode 1: Evidence Query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Query input with example prompts; response panel with formatted citations; source document panel showing retrieved excerpts; metadata filters (TA, document type, drug, HTA body)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app.py — Query mode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Mode 2: HTA Submission Critique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Document upload interface (PDF/DOCX); structured critique output with three labeled sections (Pushback Areas / Missing Evidence / Well-Supported); citation links to specific prior HTA appraisals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app.py — Critique mode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HEOR query templates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Pre-built categories: Efficacy, Safety, Comparative/NMA, HTA precedent, Evidence gap. No Medical Affairs or payer templates in this POC.</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Query template library</w:t>
            </w:r>
          </w:p>
        </w:tc>
      </w:tr>
    </w:tbl>
    <w:p>
      <w:pPr>
        <w:spacing w:before="40" w:after="40"/>
      </w:pPr>
      <w:r>
        <w:t xml:space="preserve"/>
      </w:r>
    </w:p>
    <w:p>
      <w:pPr>
        <w:spacing w:before="200" w:after="80"/>
      </w:pPr>
      <w:r>
        <w:rPr>
          <w:rFonts w:ascii="Arial" w:cs="Arial" w:eastAsia="Arial" w:hAnsi="Arial"/>
          <w:b/>
          <w:bCs/>
          <w:color w:val="1B3A5C"/>
          <w:sz w:val="23"/>
          <w:szCs w:val="23"/>
        </w:rPr>
        <w:t xml:space="preserve">Day 8–9  |  Iteration &amp; Quality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Task</w:t>
            </w:r>
          </w:p>
        </w:tc>
        <w:tc>
          <w:tcPr>
            <w:tcW w:type="dxa" w:w="4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Details</w:t>
            </w:r>
          </w:p>
        </w:tc>
        <w:tc>
          <w:tcPr>
            <w:tcW w:type="dxa" w:w="2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Output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Retrieval tuning</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Adjust chunk sizes, tune similarity thresholds, add re-ranking (Cohere rerank or cross-encoder), implement hybrid search (semantic + BM25 keyword)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Improved retrieval precision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Critique prompt refinement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Sharpen pushback area specificity; handle sparse-precedent cases; calibrate confidence when citing HTA precedent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Refined critique prompt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LLM benchmarking (Aditya)</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Run 5 HEOR comparison questions: fine-tuned candidate vs. Claude API. Document side-by-side results. Establish baseline improvement metrics.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llm_benchmark_results.md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Error handling</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Graceful handling: insufficient HTA precedent, ambiguous submission document, evidence outside corpus scope, API failures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Robust error states</w:t>
            </w:r>
          </w:p>
        </w:tc>
      </w:tr>
    </w:tbl>
    <w:p>
      <w:pPr>
        <w:spacing w:before="40" w:after="40"/>
      </w:pPr>
      <w:r>
        <w:t xml:space="preserve"/>
      </w:r>
    </w:p>
    <w:p>
      <w:pPr>
        <w:spacing w:before="200" w:after="80"/>
      </w:pPr>
      <w:r>
        <w:rPr>
          <w:rFonts w:ascii="Arial" w:cs="Arial" w:eastAsia="Arial" w:hAnsi="Arial"/>
          <w:b/>
          <w:bCs/>
          <w:color w:val="1B3A5C"/>
          <w:sz w:val="23"/>
          <w:szCs w:val="23"/>
        </w:rPr>
        <w:t xml:space="preserve">Day 10  |  Testing, Documentation &amp; Demo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Task</w:t>
            </w:r>
          </w:p>
        </w:tc>
        <w:tc>
          <w:tcPr>
            <w:tcW w:type="dxa" w:w="4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Details</w:t>
            </w:r>
          </w:p>
        </w:tc>
        <w:tc>
          <w:tcPr>
            <w:tcW w:type="dxa" w:w="2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Output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SME Review #2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50 test queries + 3 HTA submission critiques across oncology appraisals; score against all success criteria; document strengths and gaps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POC evaluation report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Demo script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5-minute narrative: (1) Problem — HEOR researcher preparing NICE submission, (2) Live evidence query demo, (3) HTA critique demo on a real NICE appraisal, (4) Roadmap teaser including specialized LLM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Demo script + recording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Technical documentation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README with setup instructions, architecture diagram, API docs, known limitations, LLM training roadmap</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Technical docs package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Docker packaging</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Single docker-compose up command to run the entire stack; seed data included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Deployable POC package</w:t>
            </w:r>
          </w:p>
        </w:tc>
      </w:tr>
    </w:tbl>
    <w:p>
      <w:pPr>
        <w:spacing w:before="40" w:after="40"/>
      </w:pPr>
      <w:r>
        <w:t xml:space="preserve"/>
      </w:r>
    </w:p>
    <w:p>
      <w:pPr>
        <w:pStyle w:val="Heading1"/>
        <w:pBdr>
          <w:bottom w:val="single" w:color="2563A8" w:sz="6" w:space="4"/>
        </w:pBdr>
        <w:spacing w:before="360" w:after="160"/>
      </w:pPr>
      <w:r>
        <w:rPr>
          <w:rFonts w:ascii="Arial" w:cs="Arial" w:eastAsia="Arial" w:hAnsi="Arial"/>
          <w:b/>
          <w:bCs/>
          <w:color w:val="1B3A5C"/>
          <w:sz w:val="32"/>
          <w:szCs w:val="32"/>
        </w:rPr>
        <w:t xml:space="preserve">5.  Seed Document Corpus</w:t>
      </w:r>
    </w:p>
    <w:p>
      <w:pPr>
        <w:spacing w:before="60" w:after="60"/>
      </w:pPr>
      <w:r>
        <w:rPr>
          <w:rFonts w:ascii="Arial" w:cs="Arial" w:eastAsia="Arial" w:hAnsi="Arial"/>
          <w:color w:val="1A1A1A"/>
          <w:sz w:val="22"/>
          <w:szCs w:val="22"/>
        </w:rPr>
        <w:t xml:space="preserve">The corpus is weighted toward HTA decision documents, which are the primary ground truth for the critique engine. Clinical trial publications serve as secondary supporting evidence.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760"/>
        <w:gridCol w:w="360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Document Type</w:t>
            </w:r>
          </w:p>
        </w:tc>
        <w:tc>
          <w:tcPr>
            <w:tcW w:type="dxa" w:w="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Qty</w:t>
            </w:r>
          </w:p>
        </w:tc>
        <w:tc>
          <w:tcPr>
            <w:tcW w:type="dxa" w:w="2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Examples</w:t>
            </w:r>
          </w:p>
        </w:tc>
        <w:tc>
          <w:tcPr>
            <w:tcW w:type="dxa" w:w="3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Rationale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NICE Technology Appraisals (PRIMARY)</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20–30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TAs for checkpoint inhibitors, CAR-T, rare disease biologics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Ground truth for pushback patterns and committee reasoning — the critique engine’s core signal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ICER Evidence Reports</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10–15</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Oncology, rare disease, and immunology reviews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U.S. HTA precedent; different evidence standards from NICE; essential for global applicability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CADTH Recommendations</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5–8</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pCODR oncology reviews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Canadian HTA precedent; often reflects different economic model expectations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Tufts CEA Registry Exports</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Structured dataset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CEA data by indication, drug class, and year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Structured cost-effectiveness benchmarks; enables ‘is your ICER in range’ critique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Landmark RCT Publications</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15–20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KEYNOTE-189, CheckMate-227, IMpower-150 series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Clinical evidence foundation for cross-referencing submission claims against published data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SLR / NMA Reports</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3–5</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Network meta-analyses in oncology IO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Tests multi-study synthesis; important for indirect comparison critique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FDA Labels / Prescribing Info</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5–8</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USPI for major IO agents in NSCLC</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Anchors submission scope to approved indications and safety profile</w:t>
            </w:r>
          </w:p>
        </w:tc>
      </w:tr>
    </w:tbl>
    <w:p>
      <w:pPr>
        <w:spacing w:before="40" w:after="40"/>
      </w:pPr>
      <w:r>
        <w:t xml:space="preserve"/>
      </w:r>
    </w:p>
    <w:p>
      <w:pPr>
        <w:pStyle w:val="Heading1"/>
        <w:pBdr>
          <w:bottom w:val="single" w:color="2563A8" w:sz="6" w:space="4"/>
        </w:pBdr>
        <w:spacing w:before="360" w:after="160"/>
      </w:pPr>
      <w:r>
        <w:rPr>
          <w:rFonts w:ascii="Arial" w:cs="Arial" w:eastAsia="Arial" w:hAnsi="Arial"/>
          <w:b/>
          <w:bCs/>
          <w:color w:val="1B3A5C"/>
          <w:sz w:val="32"/>
          <w:szCs w:val="32"/>
        </w:rPr>
        <w:t xml:space="preserve">6.  Prompt Engineering Specification</w:t>
      </w:r>
    </w:p>
    <w:p>
      <w:pPr>
        <w:pStyle w:val="Heading2"/>
        <w:spacing w:before="280" w:after="120"/>
      </w:pPr>
      <w:r>
        <w:rPr>
          <w:rFonts w:ascii="Arial" w:cs="Arial" w:eastAsia="Arial" w:hAnsi="Arial"/>
          <w:b/>
          <w:bCs/>
          <w:color w:val="2563A8"/>
          <w:sz w:val="26"/>
          <w:szCs w:val="26"/>
        </w:rPr>
        <w:t xml:space="preserve">6.1  Mode 1: Evidence Query (HEOR Researcher)</w:t>
      </w:r>
    </w:p>
    <w:p>
      <w:pPr>
        <w:spacing w:before="60" w:after="60"/>
      </w:pPr>
      <w:r>
        <w:rPr>
          <w:rFonts w:ascii="Arial" w:cs="Arial" w:eastAsia="Arial" w:hAnsi="Arial"/>
          <w:color w:val="1A1A1A"/>
          <w:sz w:val="22"/>
          <w:szCs w:val="22"/>
        </w:rPr>
        <w:t xml:space="preserve">Optimized for the HEOR scientist. Detailed, statistical, technically rigorous. The only audience mode built in the POC.</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System Prompt — Evidence Query Mode</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You are an HEOR Evidence Assistant for pharmaceutical scientists preparing HTA submissions. Answer questions using ONLY the provided source documents.
Rules: (1) Only use information from the provided context — never training knowledge for clinical claims. (2) Cite every factual claim using [Source: document_name, p.page]. (3) If context is insufficient, state that explicitly and suggest where the researcher might look. (4) Present conflicting evidence from multiple sources with respective citations. (5) Structure responses using PICO elements for treatment comparisons. (6) Flag evidence hierarchy: Phase 3 RCT &gt; Phase 2 &gt; Observational. (7) Provide HRs, CIs, p-values, and Kaplan-Meier milestones where available. (8) Never speculate about unpublished data or future results.</w:t>
            </w:r>
          </w:p>
        </w:tc>
      </w:tr>
    </w:tbl>
    <w:p>
      <w:pPr>
        <w:spacing w:before="40" w:after="40"/>
      </w:pPr>
      <w:r>
        <w:t xml:space="preserve"/>
      </w:r>
    </w:p>
    <w:p>
      <w:pPr>
        <w:pStyle w:val="Heading2"/>
        <w:spacing w:before="280" w:after="120"/>
      </w:pPr>
      <w:r>
        <w:rPr>
          <w:rFonts w:ascii="Arial" w:cs="Arial" w:eastAsia="Arial" w:hAnsi="Arial"/>
          <w:b/>
          <w:bCs/>
          <w:color w:val="2563A8"/>
          <w:sz w:val="26"/>
          <w:szCs w:val="26"/>
        </w:rPr>
        <w:t xml:space="preserve">6.2  Mode 2: HTA Submission Critique (New)</w:t>
      </w:r>
    </w:p>
    <w:p>
      <w:pPr>
        <w:spacing w:before="60" w:after="60"/>
      </w:pPr>
      <w:r>
        <w:rPr>
          <w:rFonts w:ascii="Arial" w:cs="Arial" w:eastAsia="Arial" w:hAnsi="Arial"/>
          <w:color w:val="1A1A1A"/>
          <w:sz w:val="22"/>
          <w:szCs w:val="22"/>
        </w:rPr>
        <w:t xml:space="preserve">The user uploads a draft submission document. The system retrieves relevant precedent decisions and generates a structured critique.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System Prompt — HTA Critique Mode</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You are an HTA submission review assistant with deep knowledge of NICE, ICER, and CADTH appraisal processes. The user has uploaded a draft HTA submission. Critique it against HTA precedent retrieved from the evidence corpus.
Structure your response in three clearly labeled sections:
1. LIKELY PUSHBACK AREAS — Cite specific prior HTA decisions where similar submissions were challenged. For each: name the HTA body, the appraisal reference, and the nature of the committee concern.
2. MISSING EVIDENCE — Identify evidence categories the submission lacks that HTA bodies have historically required for this drug class or indication.
3. WELL-SUPPORTED SECTIONS — Briefly note where the submission is strong, grounded in precedent.
Be direct. Be specific. Do not hedge without cause. Every critique point must cite a source document from the retrieved context. Do not use training knowledge for clinical claims.</w:t>
            </w:r>
          </w:p>
        </w:tc>
      </w:tr>
    </w:tbl>
    <w:p>
      <w:pPr>
        <w:spacing w:before="40" w:after="40"/>
      </w:pPr>
      <w:r>
        <w:t xml:space="preserve"/>
      </w:r>
    </w:p>
    <w:p>
      <w:pPr>
        <w:pStyle w:val="Heading2"/>
        <w:spacing w:before="280" w:after="120"/>
      </w:pPr>
      <w:r>
        <w:rPr>
          <w:rFonts w:ascii="Arial" w:cs="Arial" w:eastAsia="Arial" w:hAnsi="Arial"/>
          <w:b/>
          <w:bCs/>
          <w:color w:val="2563A8"/>
          <w:sz w:val="26"/>
          <w:szCs w:val="26"/>
        </w:rPr>
        <w:t xml:space="preserve">6.3  Deferred: Medical Affairs &amp; Payer Modes</w:t>
      </w:r>
    </w:p>
    <w:p>
      <w:pPr>
        <w:spacing w:before="60" w:after="60"/>
      </w:pPr>
      <w:r>
        <w:rPr>
          <w:rFonts w:ascii="Arial" w:cs="Arial" w:eastAsia="Arial" w:hAnsi="Arial"/>
          <w:color w:val="1A1A1A"/>
          <w:sz w:val="22"/>
          <w:szCs w:val="22"/>
        </w:rPr>
        <w:t xml:space="preserve">These audience modes are deferred to the Alpha phase. They will be added incrementally once the core HEOR researcher workflow is validated with a live user.</w:t>
      </w:r>
    </w:p>
    <w:p>
      <w:pPr>
        <w:spacing w:before="40" w:after="40"/>
      </w:pPr>
      <w:r>
        <w:t xml:space="preserve"/>
      </w:r>
    </w:p>
    <w:p>
      <w:pPr>
        <w:pStyle w:val="Heading1"/>
        <w:pBdr>
          <w:bottom w:val="single" w:color="2563A8" w:sz="6" w:space="4"/>
        </w:pBdr>
        <w:spacing w:before="360" w:after="160"/>
      </w:pPr>
      <w:r>
        <w:rPr>
          <w:rFonts w:ascii="Arial" w:cs="Arial" w:eastAsia="Arial" w:hAnsi="Arial"/>
          <w:b/>
          <w:bCs/>
          <w:color w:val="1B3A5C"/>
          <w:sz w:val="32"/>
          <w:szCs w:val="32"/>
        </w:rPr>
        <w:t xml:space="preserve">7.  Post-POC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460"/>
        <w:gridCol w:w="2400"/>
        <w:gridCol w:w="560"/>
      </w:tblGrid>
      <w:tr>
        <w:trPr>
          <w:tblHeader/>
        </w:trPr>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Phase</w:t>
            </w:r>
          </w:p>
        </w:tc>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Timeline</w:t>
            </w:r>
          </w:p>
        </w:tc>
        <w:tc>
          <w:tcPr>
            <w:tcW w:type="dxa" w:w="34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Key Deliverables</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Audience</w:t>
            </w:r>
          </w:p>
        </w:tc>
        <w:tc>
          <w:tcPr>
            <w:tcW w:type="dxa" w:w="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POC (this plan)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Weeks 1–2</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HEOR evidence query + HTA submission critique; 70+ documents; LLM benchmark report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HEOR researchers only</w:t>
            </w:r>
          </w:p>
        </w:tc>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Alpha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Weeks 3–8</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React frontend, user auth, automated ingestion, 500+ documents, Pharma client HEOR pilot, Medical Affairs mode added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HEOR + Medical Affairs</w:t>
            </w:r>
          </w:p>
        </w:tc>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Beta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Months 3–6</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Multi-tenancy, role-based access, Veeva Vault integration, second TA (immunology), Payer/Market Access mode, API access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HEOR + Med Affairs + Payer</w:t>
            </w:r>
          </w:p>
        </w:tc>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Production v1.0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Months 6–12</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Enterprise security (SOC 2, SSO), 5+ TAs, fine-tuned LLM as synthesis engine, audit trail for regulatory compliance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Full enterprise</w:t>
            </w:r>
          </w:p>
        </w:tc>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AI-Native Features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Months 9–18</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Living SLR, automated evidence gap monitoring, integration with Synthetic Control Arm and other roadmap use cases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Platform expansion</w:t>
            </w:r>
          </w:p>
        </w:tc>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
            </w:r>
          </w:p>
        </w:tc>
      </w:tr>
    </w:tbl>
    <w:p>
      <w:pPr>
        <w:spacing w:before="40" w:after="40"/>
      </w:pPr>
      <w:r>
        <w:t xml:space="preserve"/>
      </w:r>
    </w:p>
    <w:p>
      <w:pPr>
        <w:spacing w:before="40" w:after="40"/>
      </w:pPr>
      <w:r>
        <w:t xml:space="preserve"/>
      </w:r>
    </w:p>
    <w:p>
      <w:pPr>
        <w:pStyle w:val="Heading1"/>
        <w:pBdr>
          <w:bottom w:val="single" w:color="2563A8" w:sz="6" w:space="4"/>
        </w:pBdr>
        <w:spacing w:before="360" w:after="160"/>
      </w:pPr>
      <w:r>
        <w:rPr>
          <w:rFonts w:ascii="Arial" w:cs="Arial" w:eastAsia="Arial" w:hAnsi="Arial"/>
          <w:b/>
          <w:bCs/>
          <w:color w:val="1B3A5C"/>
          <w:sz w:val="32"/>
          <w:szCs w:val="32"/>
        </w:rPr>
        <w:t xml:space="preserve">8.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43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Risk</w:t>
            </w:r>
          </w:p>
        </w:tc>
        <w:tc>
          <w:tcPr>
            <w:tcW w:type="dxa" w:w="11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Likelihood</w:t>
            </w:r>
          </w:p>
        </w:tc>
        <w:tc>
          <w:tcPr>
            <w:tcW w:type="dxa" w:w="11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Impact</w:t>
            </w:r>
          </w:p>
        </w:tc>
        <w:tc>
          <w:tcPr>
            <w:tcW w:type="dxa" w:w="43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Mitigation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HTA corpus insufficient for compelling critique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Pre-select 3–4 hero appraisals where NICE pushback is well-documented; guarantee these work perfectly for the demo before all else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LLM hallucination in critique mode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Every critique point must cite a retrieved chunk; post-processing validates all citations exist in corpus; low-confidence points flagged explicitly to user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LLM fine-tuning delays model selection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Does not block POC — Claude API remains synthesis engine for demo regardless. Parallel workstream failure is a narrative issue, not a demo blocker.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PDF parsing fails on NICE document layouts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Use Unstructured.io as primary parser; fallback to manual pre-processing for critical committee discussion sections in key documents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Retrieval misses relevant HTA precedent chunks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Hybrid search (semantic + BM25 keyword); HTA-specific metadata filtering; top-k set to 20 for critique mode rather than standard 10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Scope creep into Medical Affairs / payer modes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Hard boundary in this plan. Log all requests, build none in POC. These are Alpha deliverables.</w:t>
            </w:r>
          </w:p>
        </w:tc>
      </w:tr>
    </w:tbl>
    <w:p>
      <w:pPr>
        <w:spacing w:before="40" w:after="40"/>
      </w:pPr>
      <w:r>
        <w:t xml:space="preserve"/>
      </w:r>
    </w:p>
    <w:p>
      <w:pPr>
        <w:pStyle w:val="Heading1"/>
        <w:pBdr>
          <w:bottom w:val="single" w:color="2563A8" w:sz="6" w:space="4"/>
        </w:pBdr>
        <w:spacing w:before="360" w:after="160"/>
      </w:pPr>
      <w:r>
        <w:rPr>
          <w:rFonts w:ascii="Arial" w:cs="Arial" w:eastAsia="Arial" w:hAnsi="Arial"/>
          <w:b/>
          <w:bCs/>
          <w:color w:val="1B3A5C"/>
          <w:sz w:val="32"/>
          <w:szCs w:val="32"/>
        </w:rPr>
        <w:t xml:space="preserve">9.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When</w:t>
            </w:r>
          </w:p>
        </w:tc>
        <w:tc>
          <w:tcPr>
            <w:tcW w:type="dxa" w:w="53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Action</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Owner</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Day 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Share sprint plan with Gemsource team; confirm Aditya’s parallel workstream scope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Vamsi</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Day 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Begin curating NICE Technology Appraisals corpus — start with 10 oncology TAs where committee pushback is well-documented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Vamsi</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Day 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Lead Engineer sets up Docker environment; runs first PDF parse test on a NICE TA document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Lead Engineer</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Day 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Aditya begins LLM evaluation: run 20 standardized HEOR questions against LLaMA 3, Qwen 2.5, and Mistral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Aditya</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Day 5</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SME Review #1: Vamsi runs 20 evidence queries AND uploads 1 test HTA submission; scores results and documents gaps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Vamsi + Lead Engineer</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Day 10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POC complete; demo recording created; client demo scheduled within 5 business days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1A1A1A"/>
                <w:sz w:val="20"/>
                <w:szCs w:val="20"/>
              </w:rPr>
              <w:t xml:space="preserve">Vamsi</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A8" w:sz="6"/>
              <w:left w:val="single" w:color="2563A8" w:sz="18"/>
              <w:bottom w:val="single" w:color="CCCCCC" w:sz="1"/>
              <w:right w:val="single" w:color="CCCCCC" w:sz="1"/>
            </w:tcBorders>
            <w:shd w:fill="EEF4FB" w:val="clear"/>
            <w:tcMar>
              <w:top w:type="dxa" w:w="140"/>
              <w:left w:type="dxa" w:w="240"/>
              <w:bottom w:type="dxa" w:w="140"/>
              <w:right w:type="dxa" w:w="180"/>
            </w:tcMar>
          </w:tcPr>
          <w:p>
            <w:pPr>
              <w:spacing w:before="0" w:after="80"/>
            </w:pPr>
            <w:r>
              <w:rPr>
                <w:rFonts w:ascii="Arial" w:cs="Arial" w:eastAsia="Arial" w:hAnsi="Arial"/>
                <w:b/>
                <w:bCs/>
                <w:caps/>
                <w:color w:val="2563A8"/>
                <w:sz w:val="18"/>
                <w:szCs w:val="18"/>
              </w:rPr>
              <w:t xml:space="preserve">The Bottom Line</w:t>
            </w:r>
          </w:p>
          <w:p>
            <w:pPr>
              <w:spacing w:before="0" w:after="0"/>
            </w:pPr>
            <w:r>
              <w:rPr>
                <w:rFonts w:ascii="Arial" w:cs="Arial" w:eastAsia="Arial" w:hAnsi="Arial"/>
                <w:color w:val="1A1A1A"/>
                <w:sz w:val="21"/>
                <w:szCs w:val="21"/>
              </w:rPr>
              <w:t xml:space="preserve">Two weeks. One audience. One core workflow. $150 in infrastructure. If the demo does not make a HEOR lead say “I need this,” we learn that for almost nothing and pivot. The POC is scoped to a single, high-stakes workflow — one that a researcher preparing a NICE submission will immediately recognize as irreplaceable. Prove it works before building the platform.</w:t>
            </w:r>
          </w:p>
        </w:tc>
      </w:tr>
    </w:tbl>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after="0"/>
      <w:jc w:val="right"/>
    </w:pPr>
    <w:r>
      <w:rPr>
        <w:rFonts w:ascii="Arial" w:cs="Arial" w:eastAsia="Arial" w:hAnsi="Arial"/>
        <w:color w:val="888888"/>
        <w:sz w:val="18"/>
        <w:szCs w:val="18"/>
      </w:rPr>
      <w:t xml:space="preserve">Gemsource  |  Confidential  |  March 2026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2026-03-23T18:30:39.384Z</dcterms:created>
  <dcterms:modified xsi:type="dcterms:W3CDTF">2026-03-23T18:30:39.385Z</dcterms:modified>
</cp:coreProperties>
</file>

<file path=docProps/custom.xml><?xml version="1.0" encoding="utf-8"?>
<Properties xmlns="http://schemas.openxmlformats.org/officeDocument/2006/custom-properties" xmlns:vt="http://schemas.openxmlformats.org/officeDocument/2006/docPropsVTypes"/>
</file>