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Noto Sans TC" w:cs="Noto Sans TC" w:eastAsia="Noto Sans TC" w:hAnsi="Noto Sans TC"/>
          <w:b/>
          <w:bCs/>
          <w:color w:val="2E5496"/>
          <w:sz w:val="30"/>
          <w:szCs w:val="30"/>
        </w:rPr>
        <w:t xml:space="preserve">AI AGENTS OFFICE</w:t>
      </w:r>
    </w:p>
    <w:p>
      <w:pPr>
        <w:spacing w:before="200"/>
        <w:jc w:val="center"/>
      </w:pPr>
      <w:r>
        <w:rPr>
          <w:rFonts w:ascii="Noto Sans TC" w:cs="Noto Sans TC" w:eastAsia="Noto Sans TC" w:hAnsi="Noto Sans TC"/>
          <w:b/>
          <w:bCs/>
          <w:color w:val="1F3864"/>
          <w:sz w:val="54"/>
          <w:szCs w:val="54"/>
        </w:rPr>
        <w:t xml:space="preserve">資訊安全評估報告</w:t>
      </w:r>
    </w:p>
    <w:p>
      <w:pPr>
        <w:spacing w:before="80"/>
        <w:jc w:val="center"/>
      </w:pPr>
      <w:r>
        <w:rPr>
          <w:rFonts w:ascii="Noto Sans TC" w:cs="Noto Sans TC" w:eastAsia="Noto Sans TC" w:hAnsi="Noto Sans TC"/>
          <w:color w:val="666666"/>
          <w:sz w:val="26"/>
          <w:szCs w:val="26"/>
        </w:rPr>
        <w:t xml:space="preserve">Security Assessment Report</w:t>
      </w:r>
    </w:p>
    <w:p>
      <w:pPr>
        <w:spacing w:before="240"/>
        <w:jc w:val="center"/>
      </w:pPr>
      <w:r>
        <w:rPr>
          <w:rFonts w:ascii="Noto Sans TC" w:cs="Noto Sans TC" w:eastAsia="Noto Sans TC" w:hAnsi="Noto Sans TC"/>
          <w:b/>
          <w:bCs/>
          <w:color w:val="2E5496"/>
          <w:sz w:val="24"/>
          <w:szCs w:val="24"/>
        </w:rPr>
        <w:t xml:space="preserve">完整技術版 · Comprehensive Technical Edition</w:t>
      </w:r>
    </w:p>
    <w:p>
      <w:pPr>
        <w:spacing w:before="500"/>
        <w:jc w:val="center"/>
      </w:pPr>
      <w:r>
        <w:rPr>
          <w:rFonts w:ascii="Noto Sans TC" w:cs="Noto Sans TC" w:eastAsia="Noto Sans TC" w:hAnsi="Noto Sans TC"/>
          <w:color w:val="222222"/>
          <w:sz w:val="21"/>
          <w:szCs w:val="21"/>
        </w:rPr>
        <w:t xml:space="preserve">涵蓋 15 個安全領域之原始碼層級白箱評估、修補與殘餘風險管理</w:t>
      </w:r>
    </w:p>
    <w:p>
      <w:pPr>
        <w:spacing w:before="1000"/>
        <w:jc w:val="center"/>
      </w:pPr>
      <w:r>
        <w:rPr>
          <w:rFonts w:ascii="Noto Sans TC" w:cs="Noto Sans TC" w:eastAsia="Noto Sans TC" w:hAnsi="Noto Sans TC"/>
          <w:b/>
          <w:bCs/>
          <w:color w:val="C0392B"/>
          <w:sz w:val="22"/>
          <w:szCs w:val="22"/>
        </w:rPr>
        <w:t xml:space="preserve">機密 — CONFIDENTIAL · 內部文件</w:t>
      </w:r>
    </w:p>
    <w:p>
      <w:pPr>
        <w:spacing w:before="120"/>
        <w:jc w:val="center"/>
      </w:pPr>
      <w:r>
        <w:rPr>
          <w:rFonts w:ascii="Noto Sans TC" w:cs="Noto Sans TC" w:eastAsia="Noto Sans TC" w:hAnsi="Noto Sans TC"/>
          <w:color w:val="666666"/>
          <w:sz w:val="20"/>
          <w:szCs w:val="20"/>
        </w:rPr>
        <w:t xml:space="preserve">版本 1.3  ·  2026-06-11</w:t>
      </w:r>
    </w:p>
    <w:p>
      <w:r>
        <w:br w:type="page"/>
      </w:r>
    </w:p>
    <w:p>
      <w:pPr>
        <w:pStyle w:val="Heading1"/>
        <w:spacing w:after="130" w:before="260"/>
      </w:pPr>
      <w:r>
        <w:rPr>
          <w:rFonts w:ascii="Noto Sans TC" w:cs="Noto Sans TC" w:eastAsia="Noto Sans TC" w:hAnsi="Noto Sans TC"/>
          <w:b/>
          <w:bCs/>
          <w:color w:val="1F3864"/>
        </w:rPr>
        <w:t xml:space="preserve">文件控制 Document Control</w:t>
      </w: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100"/>
        <w:gridCol w:w="100"/>
      </w:tblGrid>
      <w:tr>
        <w:tc>
          <w:tcPr>
            <w:tcW w:type="pct" w:w="22%"/>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8"/>
                <w:szCs w:val="18"/>
              </w:rPr>
              <w:t xml:space="preserve">報告標題</w:t>
            </w:r>
          </w:p>
        </w:tc>
        <w:tc>
          <w:tcPr>
            <w:tcW w:type="pct" w:w="78%"/>
            <w:tcMar>
              <w:top w:type="dxa" w:w="60"/>
              <w:left w:type="dxa" w:w="95"/>
              <w:bottom w:type="dxa" w:w="60"/>
              <w:right w:type="dxa" w:w="95"/>
            </w:tcMar>
            <w:vAlign w:val="center"/>
          </w:tcPr>
          <w:p>
            <w:pPr>
              <w:spacing w:after="0"/>
            </w:pPr>
            <w:r>
              <w:rPr>
                <w:rFonts w:ascii="Noto Sans TC" w:cs="Noto Sans TC" w:eastAsia="Noto Sans TC" w:hAnsi="Noto Sans TC"/>
                <w:color w:val="222222"/>
                <w:sz w:val="18"/>
                <w:szCs w:val="18"/>
              </w:rPr>
              <w:t xml:space="preserve">AI Agents Office 資訊安全評估報告(完整技術版)</w:t>
            </w:r>
          </w:p>
        </w:tc>
      </w:tr>
      <w:tr>
        <w:tc>
          <w:tcPr>
            <w:tcW w:type="pct" w:w="22%"/>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8"/>
                <w:szCs w:val="18"/>
              </w:rPr>
              <w:t xml:space="preserve">版本 / 日期</w:t>
            </w:r>
          </w:p>
        </w:tc>
        <w:tc>
          <w:tcPr>
            <w:tcW w:type="pct" w:w="78%"/>
            <w:tcMar>
              <w:top w:type="dxa" w:w="60"/>
              <w:left w:type="dxa" w:w="95"/>
              <w:bottom w:type="dxa" w:w="60"/>
              <w:right w:type="dxa" w:w="95"/>
            </w:tcMar>
            <w:vAlign w:val="center"/>
          </w:tcPr>
          <w:p>
            <w:pPr>
              <w:spacing w:after="0"/>
            </w:pPr>
            <w:r>
              <w:rPr>
                <w:rFonts w:ascii="Noto Sans TC" w:cs="Noto Sans TC" w:eastAsia="Noto Sans TC" w:hAnsi="Noto Sans TC"/>
                <w:color w:val="222222"/>
                <w:sz w:val="18"/>
                <w:szCs w:val="18"/>
              </w:rPr>
              <w:t xml:space="preserve">1.3 / 2026-06-11</w:t>
            </w:r>
          </w:p>
        </w:tc>
      </w:tr>
      <w:tr>
        <w:tc>
          <w:tcPr>
            <w:tcW w:type="pct" w:w="22%"/>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8"/>
                <w:szCs w:val="18"/>
              </w:rPr>
              <w:t xml:space="preserve">分類 / 流通</w:t>
            </w:r>
          </w:p>
        </w:tc>
        <w:tc>
          <w:tcPr>
            <w:tcW w:type="pct" w:w="78%"/>
            <w:tcMar>
              <w:top w:type="dxa" w:w="60"/>
              <w:left w:type="dxa" w:w="95"/>
              <w:bottom w:type="dxa" w:w="60"/>
              <w:right w:type="dxa" w:w="95"/>
            </w:tcMar>
            <w:vAlign w:val="center"/>
          </w:tcPr>
          <w:p>
            <w:pPr>
              <w:spacing w:after="0"/>
            </w:pPr>
            <w:r>
              <w:rPr>
                <w:rFonts w:ascii="Noto Sans TC" w:cs="Noto Sans TC" w:eastAsia="Noto Sans TC" w:hAnsi="Noto Sans TC"/>
                <w:color w:val="222222"/>
                <w:sz w:val="18"/>
                <w:szCs w:val="18"/>
              </w:rPr>
              <w:t xml:space="preserve">機密 · 內部文件(不對外發佈;對外請使用客戶版摘要)</w:t>
            </w:r>
          </w:p>
        </w:tc>
      </w:tr>
      <w:tr>
        <w:tc>
          <w:tcPr>
            <w:tcW w:type="pct" w:w="22%"/>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8"/>
                <w:szCs w:val="18"/>
              </w:rPr>
              <w:t xml:space="preserve">評估型態</w:t>
            </w:r>
          </w:p>
        </w:tc>
        <w:tc>
          <w:tcPr>
            <w:tcW w:type="pct" w:w="78%"/>
            <w:tcMar>
              <w:top w:type="dxa" w:w="60"/>
              <w:left w:type="dxa" w:w="95"/>
              <w:bottom w:type="dxa" w:w="60"/>
              <w:right w:type="dxa" w:w="95"/>
            </w:tcMar>
            <w:vAlign w:val="center"/>
          </w:tcPr>
          <w:p>
            <w:pPr>
              <w:spacing w:after="0"/>
            </w:pPr>
            <w:r>
              <w:rPr>
                <w:rFonts w:ascii="Noto Sans TC" w:cs="Noto Sans TC" w:eastAsia="Noto Sans TC" w:hAnsi="Noto Sans TC"/>
                <w:color w:val="222222"/>
                <w:sz w:val="18"/>
                <w:szCs w:val="18"/>
              </w:rPr>
              <w:t xml:space="preserve">主動式(proactive)原始碼層級白箱評估 — 於問題進入正式環境前完成識別與修補</w:t>
            </w:r>
          </w:p>
        </w:tc>
      </w:tr>
      <w:tr>
        <w:tc>
          <w:tcPr>
            <w:tcW w:type="pct" w:w="22%"/>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8"/>
                <w:szCs w:val="18"/>
              </w:rPr>
              <w:t xml:space="preserve">驗證方式</w:t>
            </w:r>
          </w:p>
        </w:tc>
        <w:tc>
          <w:tcPr>
            <w:tcW w:type="pct" w:w="78%"/>
            <w:tcMar>
              <w:top w:type="dxa" w:w="60"/>
              <w:left w:type="dxa" w:w="95"/>
              <w:bottom w:type="dxa" w:w="60"/>
              <w:right w:type="dxa" w:w="95"/>
            </w:tcMar>
            <w:vAlign w:val="center"/>
          </w:tcPr>
          <w:p>
            <w:pPr>
              <w:spacing w:after="0"/>
            </w:pPr>
            <w:r>
              <w:rPr>
                <w:rFonts w:ascii="Noto Sans TC" w:cs="Noto Sans TC" w:eastAsia="Noto Sans TC" w:hAnsi="Noto Sans TC"/>
                <w:color w:val="222222"/>
                <w:sz w:val="18"/>
                <w:szCs w:val="18"/>
              </w:rPr>
              <w:t xml:space="preserve">TypeScript 型別檢查 + 開發環境啟動/功能驗證(含上傳防護無誤判實測)</w:t>
            </w:r>
          </w:p>
        </w:tc>
      </w:tr>
    </w:tbl>
    <w:p>
      <w:pPr>
        <w:pStyle w:val="Heading2"/>
        <w:spacing w:after="130" w:before="260"/>
      </w:pPr>
      <w:r>
        <w:rPr>
          <w:rFonts w:ascii="Noto Sans TC" w:cs="Noto Sans TC" w:eastAsia="Noto Sans TC" w:hAnsi="Noto Sans TC"/>
          <w:b/>
          <w:bCs/>
          <w:color w:val="1F3864"/>
        </w:rPr>
        <w:t xml:space="preserve">版本歷程 Version History</w:t>
      </w: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100"/>
        <w:gridCol w:w="100"/>
      </w:tblGrid>
      <w:tr>
        <w:tc>
          <w:tcPr>
            <w:tcW w:type="pct" w:w="12%"/>
            <w:shd w:fill="1F3864"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FFFFFF"/>
                <w:sz w:val="18"/>
                <w:szCs w:val="18"/>
              </w:rPr>
              <w:t xml:space="preserve">版本</w:t>
            </w:r>
          </w:p>
        </w:tc>
        <w:tc>
          <w:tcPr>
            <w:shd w:fill="1F3864"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FFFFFF"/>
                <w:sz w:val="18"/>
                <w:szCs w:val="18"/>
              </w:rPr>
              <w:t xml:space="preserve">內容</w:t>
            </w:r>
          </w:p>
        </w:tc>
      </w:tr>
      <w:tr>
        <w:tc>
          <w:tcPr>
            <w:shd w:fill="F4F7FB"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8"/>
                <w:szCs w:val="18"/>
              </w:rPr>
              <w:t xml:space="preserve">1.0</w:t>
            </w:r>
          </w:p>
        </w:tc>
        <w:tc>
          <w:tcPr>
            <w:tcMar>
              <w:top w:type="dxa" w:w="60"/>
              <w:left w:type="dxa" w:w="95"/>
              <w:bottom w:type="dxa" w:w="60"/>
              <w:right w:type="dxa" w:w="95"/>
            </w:tcMar>
            <w:vAlign w:val="center"/>
          </w:tcPr>
          <w:p>
            <w:pPr>
              <w:spacing w:after="0"/>
            </w:pPr>
            <w:r>
              <w:rPr>
                <w:rFonts w:ascii="Noto Sans TC" w:cs="Noto Sans TC" w:eastAsia="Noto Sans TC" w:hAnsi="Noto Sans TC"/>
                <w:color w:val="222222"/>
                <w:sz w:val="18"/>
                <w:szCs w:val="18"/>
              </w:rPr>
              <w:t xml:space="preserve">初次完整評估,識別 20 項發現(1 極高 / 4 高 / 10 中 / 5 低)。</w:t>
            </w:r>
          </w:p>
        </w:tc>
      </w:tr>
      <w:tr>
        <w:tc>
          <w:tcPr>
            <w:shd w:fill="F4F7FB"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8"/>
                <w:szCs w:val="18"/>
              </w:rPr>
              <w:t xml:space="preserve">1.1</w:t>
            </w:r>
          </w:p>
        </w:tc>
        <w:tc>
          <w:tcPr>
            <w:tcMar>
              <w:top w:type="dxa" w:w="60"/>
              <w:left w:type="dxa" w:w="95"/>
              <w:bottom w:type="dxa" w:w="60"/>
              <w:right w:type="dxa" w:w="95"/>
            </w:tcMar>
            <w:vAlign w:val="center"/>
          </w:tcPr>
          <w:p>
            <w:pPr>
              <w:spacing w:after="0"/>
            </w:pPr>
            <w:r>
              <w:rPr>
                <w:rFonts w:ascii="Noto Sans TC" w:cs="Noto Sans TC" w:eastAsia="Noto Sans TC" w:hAnsi="Noto Sans TC"/>
                <w:color w:val="222222"/>
                <w:sz w:val="18"/>
                <w:szCs w:val="18"/>
              </w:rPr>
              <w:t xml:space="preserve">完成首輪修補後之更新。</w:t>
            </w:r>
          </w:p>
        </w:tc>
      </w:tr>
      <w:tr>
        <w:tc>
          <w:tcPr>
            <w:shd w:fill="F4F7FB"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8"/>
                <w:szCs w:val="18"/>
              </w:rPr>
              <w:t xml:space="preserve">1.2</w:t>
            </w:r>
          </w:p>
        </w:tc>
        <w:tc>
          <w:tcPr>
            <w:tcMar>
              <w:top w:type="dxa" w:w="60"/>
              <w:left w:type="dxa" w:w="95"/>
              <w:bottom w:type="dxa" w:w="60"/>
              <w:right w:type="dxa" w:w="95"/>
            </w:tcMar>
            <w:vAlign w:val="center"/>
          </w:tcPr>
          <w:p>
            <w:pPr>
              <w:spacing w:after="0"/>
            </w:pPr>
            <w:r>
              <w:rPr>
                <w:rFonts w:ascii="Noto Sans TC" w:cs="Noto Sans TC" w:eastAsia="Noto Sans TC" w:hAnsi="Noto Sans TC"/>
                <w:color w:val="222222"/>
                <w:sz w:val="18"/>
                <w:szCs w:val="18"/>
              </w:rPr>
              <w:t xml:space="preserve">導入殘餘風險之正式處置決策。</w:t>
            </w:r>
          </w:p>
        </w:tc>
      </w:tr>
      <w:tr>
        <w:tc>
          <w:tcPr>
            <w:shd w:fill="F4F7FB"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8"/>
                <w:szCs w:val="18"/>
              </w:rPr>
              <w:t xml:space="preserve">1.3</w:t>
            </w:r>
          </w:p>
        </w:tc>
        <w:tc>
          <w:tcPr>
            <w:tcMar>
              <w:top w:type="dxa" w:w="60"/>
              <w:left w:type="dxa" w:w="95"/>
              <w:bottom w:type="dxa" w:w="60"/>
              <w:right w:type="dxa" w:w="95"/>
            </w:tcMar>
            <w:vAlign w:val="center"/>
          </w:tcPr>
          <w:p>
            <w:pPr>
              <w:spacing w:after="0"/>
            </w:pPr>
            <w:r>
              <w:rPr>
                <w:rFonts w:ascii="Noto Sans TC" w:cs="Noto Sans TC" w:eastAsia="Noto Sans TC" w:hAnsi="Noto Sans TC"/>
                <w:color w:val="222222"/>
                <w:sz w:val="18"/>
                <w:szCs w:val="18"/>
              </w:rPr>
              <w:t xml:space="preserve">完整技術版:補齊方法論、涵蓋矩陣、修補詳述與殘餘風險登錄。</w:t>
            </w:r>
          </w:p>
        </w:tc>
      </w:tr>
    </w:tbl>
    <w:p>
      <w:r>
        <w:br w:type="page"/>
      </w:r>
    </w:p>
    <w:p>
      <w:pPr>
        <w:pStyle w:val="Heading1"/>
        <w:spacing w:after="130" w:before="260"/>
      </w:pPr>
      <w:r>
        <w:rPr>
          <w:rFonts w:ascii="Noto Sans TC" w:cs="Noto Sans TC" w:eastAsia="Noto Sans TC" w:hAnsi="Noto Sans TC"/>
          <w:b/>
          <w:bCs/>
          <w:color w:val="1F3864"/>
        </w:rPr>
        <w:t xml:space="preserve">1. 執行摘要 Executive Summary</w:t>
      </w:r>
    </w:p>
    <w:p>
      <w:pPr>
        <w:spacing w:after="120" w:line="280"/>
      </w:pPr>
      <w:r>
        <w:rPr>
          <w:rFonts w:ascii="Noto Sans TC" w:cs="Noto Sans TC" w:eastAsia="Noto Sans TC" w:hAnsi="Noto Sans TC"/>
        </w:rPr>
        <w:t xml:space="preserve">本報告記錄 AI Agents Office 一次主動式(proactive)的內部資訊安全評估與強化作業。評估採原始碼層級白箱方式,系統性涵蓋 15 個安全領域,特別聚焦於本服務大量的 AI 互動介面,以及三項關鍵風險:有害內容、系統技術與智慧財產之保護、跨帳號資料隔離。</w:t>
      </w:r>
    </w:p>
    <w:p>
      <w:pPr>
        <w:spacing w:after="120" w:line="280"/>
      </w:pPr>
      <w:r>
        <w:rPr>
          <w:rFonts w:ascii="Noto Sans TC" w:cs="Noto Sans TC" w:eastAsia="Noto Sans TC" w:hAnsi="Noto Sans TC"/>
        </w:rPr>
        <w:t xml:space="preserve">評估於問題進入正式環境前完成識別,並隨即在「確保不影響現有使用」之原則下完成修補。本次共完成 11 類安全修補(涵蓋極高至低風險各級)與多項 AI 安全強化;其餘 5 項以正式之殘餘風險登錄管理,每項均載明處置決策、補償控制與再評估條件。</w:t>
      </w:r>
    </w:p>
    <w:p>
      <w:pPr>
        <w:spacing w:after="120" w:line="280"/>
      </w:pPr>
      <w:r>
        <w:rPr>
          <w:rFonts w:ascii="Noto Sans TC" w:cs="Noto Sans TC" w:eastAsia="Noto Sans TC" w:hAnsi="Noto Sans TC"/>
          <w:b w:val="false"/>
          <w:bCs w:val="false"/>
        </w:rPr>
        <w:t xml:space="preserve">整體結論:本服務具備穩健的核心安全控制與成熟的安全治理流程。極高風險已修正歸零;三項關鍵風險均達「已控管」或「已驗證」。目前無未經處置之安全缺失。</w:t>
      </w: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100"/>
        <w:gridCol w:w="100"/>
      </w:tblGrid>
      <w:tr>
        <w:tc>
          <w:tcPr>
            <w:tcW w:type="pct" w:w="34%"/>
            <w:shd w:fill="1F3864"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FFFFFF"/>
                <w:sz w:val="18"/>
                <w:szCs w:val="18"/>
              </w:rPr>
              <w:t xml:space="preserve">整體安全姿態</w:t>
            </w:r>
          </w:p>
        </w:tc>
        <w:tc>
          <w:tcPr>
            <w:tcW w:type="pct" w:w="66%"/>
            <w:tcMar>
              <w:top w:type="dxa" w:w="60"/>
              <w:left w:type="dxa" w:w="95"/>
              <w:bottom w:type="dxa" w:w="60"/>
              <w:right w:type="dxa" w:w="95"/>
            </w:tcMar>
            <w:vAlign w:val="center"/>
          </w:tcPr>
          <w:p>
            <w:pPr>
              <w:spacing w:after="0"/>
            </w:pPr>
            <w:r>
              <w:rPr>
                <w:rFonts w:ascii="Noto Sans TC" w:cs="Noto Sans TC" w:eastAsia="Noto Sans TC" w:hAnsi="Noto Sans TC"/>
                <w:b/>
                <w:bCs/>
                <w:color w:val="1E7E45"/>
                <w:sz w:val="18"/>
                <w:szCs w:val="18"/>
              </w:rPr>
              <w:t xml:space="preserve">良好 (Strong) — 核心控制健全、治理流程成熟</w:t>
            </w:r>
          </w:p>
        </w:tc>
      </w:tr>
    </w:tbl>
    <w:p>
      <w:pPr>
        <w:pStyle w:val="Heading1"/>
        <w:spacing w:after="130" w:before="260"/>
      </w:pPr>
      <w:r>
        <w:rPr>
          <w:rFonts w:ascii="Noto Sans TC" w:cs="Noto Sans TC" w:eastAsia="Noto Sans TC" w:hAnsi="Noto Sans TC"/>
          <w:b/>
          <w:bCs/>
          <w:color w:val="1F3864"/>
        </w:rPr>
        <w:t xml:space="preserve">2. 評估範圍與方法 Scope &amp; Methodology</w:t>
      </w:r>
    </w:p>
    <w:p>
      <w:pPr>
        <w:spacing w:after="120" w:line="280"/>
      </w:pPr>
      <w:r>
        <w:rPr>
          <w:rFonts w:ascii="Noto Sans TC" w:cs="Noto Sans TC" w:eastAsia="Noto Sans TC" w:hAnsi="Noto Sans TC"/>
        </w:rPr>
        <w:t xml:space="preserve">範圍:後端服務與前端應用之原始碼,聚焦於使用者輸入抵達 AI 之完整路徑,以及認證、授權、資料隔離、檔案處理、平台組態等支撐性控制。</w:t>
      </w:r>
    </w:p>
    <w:p>
      <w:pPr>
        <w:spacing w:after="120" w:line="280"/>
      </w:pPr>
      <w:r>
        <w:rPr>
          <w:rFonts w:ascii="Noto Sans TC" w:cs="Noto Sans TC" w:eastAsia="Noto Sans TC" w:hAnsi="Noto Sans TC"/>
        </w:rPr>
        <w:t xml:space="preserve">方法:原始碼層級白箱審查。逐一追蹤每個使用者輸入入口至 AI/資料層之資料流,檢視其防護鏈;對每個將使用者資料注入提示之位置確認其帳號範圍化;對認證、授權、上傳、查詢、分享等控制逐項驗證。</w:t>
      </w:r>
    </w:p>
    <w:p>
      <w:pPr>
        <w:spacing w:after="120" w:line="280"/>
      </w:pPr>
      <w:r>
        <w:rPr>
          <w:rFonts w:ascii="Noto Sans TC" w:cs="Noto Sans TC" w:eastAsia="Noto Sans TC" w:hAnsi="Noto Sans TC"/>
        </w:rPr>
        <w:t xml:space="preserve">不在範圍:動態滲透測試、正式環境之實機組態審查、實體與網路基礎設施。部分風險取決於部署期環境設定,本報告以原始碼之預設與後備邏輯為基準評估。</w:t>
      </w:r>
    </w:p>
    <w:p>
      <w:pPr>
        <w:pStyle w:val="Heading1"/>
        <w:spacing w:after="130" w:before="260"/>
      </w:pPr>
      <w:r>
        <w:rPr>
          <w:rFonts w:ascii="Noto Sans TC" w:cs="Noto Sans TC" w:eastAsia="Noto Sans TC" w:hAnsi="Noto Sans TC"/>
          <w:b/>
          <w:bCs/>
          <w:color w:val="1F3864"/>
        </w:rPr>
        <w:t xml:space="preserve">3. 風險分級方法 Risk Rating</w:t>
      </w: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100"/>
        <w:gridCol w:w="100"/>
      </w:tblGrid>
      <w:tr>
        <w:tc>
          <w:tcPr>
            <w:tcW w:type="pct" w:w="16%"/>
            <w:shd w:fill="1F3864"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FFFFFF"/>
                <w:sz w:val="18"/>
                <w:szCs w:val="18"/>
              </w:rPr>
              <w:t xml:space="preserve">等級</w:t>
            </w:r>
          </w:p>
        </w:tc>
        <w:tc>
          <w:tcPr>
            <w:shd w:fill="1F3864"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FFFFFF"/>
                <w:sz w:val="18"/>
                <w:szCs w:val="18"/>
              </w:rPr>
              <w:t xml:space="preserve">定義</w:t>
            </w:r>
          </w:p>
        </w:tc>
      </w:tr>
      <w:tr>
        <w:tc>
          <w:tcPr>
            <w:tcW w:type="pct" w:w="14%"/>
            <w:shd w:fill="C0392B"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極高 Critical</w:t>
            </w:r>
          </w:p>
        </w:tc>
        <w:tc>
          <w:tcPr>
            <w:tcMar>
              <w:top w:type="dxa" w:w="60"/>
              <w:left w:type="dxa" w:w="95"/>
              <w:bottom w:type="dxa" w:w="60"/>
              <w:right w:type="dxa" w:w="95"/>
            </w:tcMar>
            <w:vAlign w:val="center"/>
          </w:tcPr>
          <w:p>
            <w:pPr>
              <w:spacing w:after="0"/>
            </w:pPr>
            <w:r>
              <w:rPr>
                <w:rFonts w:ascii="Noto Sans TC" w:cs="Noto Sans TC" w:eastAsia="Noto Sans TC" w:hAnsi="Noto Sans TC"/>
                <w:color w:val="222222"/>
                <w:sz w:val="18"/>
                <w:szCs w:val="18"/>
              </w:rPr>
              <w:t xml:space="preserve">可直接導致完整系統或帳號被接管,須立即處理。</w:t>
            </w:r>
          </w:p>
        </w:tc>
      </w:tr>
      <w:tr>
        <w:tc>
          <w:tcPr>
            <w:tcW w:type="pct" w:w="14%"/>
            <w:shd w:fill="E67E22"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高 High</w:t>
            </w:r>
          </w:p>
        </w:tc>
        <w:tc>
          <w:tcPr>
            <w:tcMar>
              <w:top w:type="dxa" w:w="60"/>
              <w:left w:type="dxa" w:w="95"/>
              <w:bottom w:type="dxa" w:w="60"/>
              <w:right w:type="dxa" w:w="95"/>
            </w:tcMar>
            <w:vAlign w:val="center"/>
          </w:tcPr>
          <w:p>
            <w:pPr>
              <w:spacing w:after="0"/>
            </w:pPr>
            <w:r>
              <w:rPr>
                <w:rFonts w:ascii="Noto Sans TC" w:cs="Noto Sans TC" w:eastAsia="Noto Sans TC" w:hAnsi="Noto Sans TC"/>
                <w:color w:val="222222"/>
                <w:sz w:val="18"/>
                <w:szCs w:val="18"/>
              </w:rPr>
              <w:t xml:space="preserve">重大機密性/完整性影響,應優先修補。</w:t>
            </w:r>
          </w:p>
        </w:tc>
      </w:tr>
      <w:tr>
        <w:tc>
          <w:tcPr>
            <w:tcW w:type="pct" w:w="14%"/>
            <w:shd w:fill="F1C40F"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222222"/>
                <w:sz w:val="16"/>
                <w:szCs w:val="16"/>
              </w:rPr>
              <w:t xml:space="preserve">中 Medium</w:t>
            </w:r>
          </w:p>
        </w:tc>
        <w:tc>
          <w:tcPr>
            <w:tcMar>
              <w:top w:type="dxa" w:w="60"/>
              <w:left w:type="dxa" w:w="95"/>
              <w:bottom w:type="dxa" w:w="60"/>
              <w:right w:type="dxa" w:w="95"/>
            </w:tcMar>
            <w:vAlign w:val="center"/>
          </w:tcPr>
          <w:p>
            <w:pPr>
              <w:spacing w:after="0"/>
            </w:pPr>
            <w:r>
              <w:rPr>
                <w:rFonts w:ascii="Noto Sans TC" w:cs="Noto Sans TC" w:eastAsia="Noto Sans TC" w:hAnsi="Noto Sans TC"/>
                <w:color w:val="222222"/>
                <w:sz w:val="18"/>
                <w:szCs w:val="18"/>
              </w:rPr>
              <w:t xml:space="preserve">在特定條件下可被利用或顯著降低防護深度。</w:t>
            </w:r>
          </w:p>
        </w:tc>
      </w:tr>
      <w:tr>
        <w:tc>
          <w:tcPr>
            <w:tcW w:type="pct" w:w="14%"/>
            <w:shd w:fill="3498DB"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低 Low</w:t>
            </w:r>
          </w:p>
        </w:tc>
        <w:tc>
          <w:tcPr>
            <w:tcMar>
              <w:top w:type="dxa" w:w="60"/>
              <w:left w:type="dxa" w:w="95"/>
              <w:bottom w:type="dxa" w:w="60"/>
              <w:right w:type="dxa" w:w="95"/>
            </w:tcMar>
            <w:vAlign w:val="center"/>
          </w:tcPr>
          <w:p>
            <w:pPr>
              <w:spacing w:after="0"/>
            </w:pPr>
            <w:r>
              <w:rPr>
                <w:rFonts w:ascii="Noto Sans TC" w:cs="Noto Sans TC" w:eastAsia="Noto Sans TC" w:hAnsi="Noto Sans TC"/>
                <w:color w:val="222222"/>
                <w:sz w:val="18"/>
                <w:szCs w:val="18"/>
              </w:rPr>
              <w:t xml:space="preserve">影響有限或利用條件嚴苛,屬強化建議。</w:t>
            </w:r>
          </w:p>
        </w:tc>
      </w:tr>
    </w:tbl>
    <w:p>
      <w:pPr>
        <w:pStyle w:val="Heading1"/>
        <w:spacing w:after="130" w:before="260"/>
      </w:pPr>
      <w:r>
        <w:rPr>
          <w:rFonts w:ascii="Noto Sans TC" w:cs="Noto Sans TC" w:eastAsia="Noto Sans TC" w:hAnsi="Noto Sans TC"/>
          <w:b/>
          <w:bCs/>
          <w:color w:val="1F3864"/>
        </w:rPr>
        <w:t xml:space="preserve">4. 評估涵蓋矩陣 Assessment Coverage</w:t>
      </w:r>
    </w:p>
    <w:p>
      <w:pPr>
        <w:spacing w:after="130"/>
      </w:pPr>
      <w:r>
        <w:rPr>
          <w:rFonts w:ascii="Noto Sans TC" w:cs="Noto Sans TC" w:eastAsia="Noto Sans TC" w:hAnsi="Noto Sans TC"/>
        </w:rPr>
        <w:t xml:space="preserve">本次評估涵蓋之安全領域及其結論:</w:t>
      </w: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100"/>
        <w:gridCol w:w="100"/>
        <w:gridCol w:w="100"/>
        <w:gridCol w:w="100"/>
      </w:tblGrid>
      <w:tr>
        <w:tc>
          <w:tcPr>
            <w:tcW w:type="pct" w:w="32%"/>
            <w:shd w:fill="F4F7FB"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222222"/>
                <w:sz w:val="17"/>
                <w:szCs w:val="17"/>
              </w:rPr>
              <w:t xml:space="preserve">認證與工作階段</w:t>
            </w:r>
          </w:p>
        </w:tc>
        <w:tc>
          <w:tcPr>
            <w:tcW w:type="pct" w:w="18%"/>
            <w:shd w:fill="1E7E45"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已強化</w:t>
            </w:r>
          </w:p>
        </w:tc>
        <w:tc>
          <w:tcPr>
            <w:tcW w:type="pct" w:w="32%"/>
            <w:shd w:fill="F4F7FB"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222222"/>
                <w:sz w:val="17"/>
                <w:szCs w:val="17"/>
              </w:rPr>
              <w:t xml:space="preserve">授權與權限 (RBAC)</w:t>
            </w:r>
          </w:p>
        </w:tc>
        <w:tc>
          <w:tcPr>
            <w:tcW w:type="pct" w:w="18%"/>
            <w:shd w:fill="1E7E45"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健全</w:t>
            </w:r>
          </w:p>
        </w:tc>
      </w:tr>
      <w:tr>
        <w:tc>
          <w:tcPr>
            <w:tcW w:type="pct" w:w="32%"/>
            <w:shd w:fill="F4F7FB"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222222"/>
                <w:sz w:val="17"/>
                <w:szCs w:val="17"/>
              </w:rPr>
              <w:t xml:space="preserve">跨帳號資料隔離</w:t>
            </w:r>
          </w:p>
        </w:tc>
        <w:tc>
          <w:tcPr>
            <w:tcW w:type="pct" w:w="18%"/>
            <w:shd w:fill="1E7E45"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已驗證</w:t>
            </w:r>
          </w:p>
        </w:tc>
        <w:tc>
          <w:tcPr>
            <w:tcW w:type="pct" w:w="32%"/>
            <w:shd w:fill="F4F7FB"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222222"/>
                <w:sz w:val="17"/>
                <w:szCs w:val="17"/>
              </w:rPr>
              <w:t xml:space="preserve">AI 內容安全</w:t>
            </w:r>
          </w:p>
        </w:tc>
        <w:tc>
          <w:tcPr>
            <w:tcW w:type="pct" w:w="18%"/>
            <w:shd w:fill="1E7E45"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已強化</w:t>
            </w:r>
          </w:p>
        </w:tc>
      </w:tr>
      <w:tr>
        <w:tc>
          <w:tcPr>
            <w:tcW w:type="pct" w:w="32%"/>
            <w:shd w:fill="F4F7FB"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222222"/>
                <w:sz w:val="17"/>
                <w:szCs w:val="17"/>
              </w:rPr>
              <w:t xml:space="preserve">智慧財產與系統知識保護</w:t>
            </w:r>
          </w:p>
        </w:tc>
        <w:tc>
          <w:tcPr>
            <w:tcW w:type="pct" w:w="18%"/>
            <w:shd w:fill="1E7E45"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已強化</w:t>
            </w:r>
          </w:p>
        </w:tc>
        <w:tc>
          <w:tcPr>
            <w:tcW w:type="pct" w:w="32%"/>
            <w:shd w:fill="F4F7FB"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222222"/>
                <w:sz w:val="17"/>
                <w:szCs w:val="17"/>
              </w:rPr>
              <w:t xml:space="preserve">提示注入與輸入防禦</w:t>
            </w:r>
          </w:p>
        </w:tc>
        <w:tc>
          <w:tcPr>
            <w:tcW w:type="pct" w:w="18%"/>
            <w:shd w:fill="1E7E45"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健全</w:t>
            </w:r>
          </w:p>
        </w:tc>
      </w:tr>
      <w:tr>
        <w:tc>
          <w:tcPr>
            <w:tcW w:type="pct" w:w="32%"/>
            <w:shd w:fill="F4F7FB"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222222"/>
                <w:sz w:val="17"/>
                <w:szCs w:val="17"/>
              </w:rPr>
              <w:t xml:space="preserve">沙盒與執行隔離</w:t>
            </w:r>
          </w:p>
        </w:tc>
        <w:tc>
          <w:tcPr>
            <w:tcW w:type="pct" w:w="18%"/>
            <w:shd w:fill="B7950B"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已管理</w:t>
            </w:r>
          </w:p>
        </w:tc>
        <w:tc>
          <w:tcPr>
            <w:tcW w:type="pct" w:w="32%"/>
            <w:shd w:fill="F4F7FB"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222222"/>
                <w:sz w:val="17"/>
                <w:szCs w:val="17"/>
              </w:rPr>
              <w:t xml:space="preserve">檔案上傳安全</w:t>
            </w:r>
          </w:p>
        </w:tc>
        <w:tc>
          <w:tcPr>
            <w:tcW w:type="pct" w:w="18%"/>
            <w:shd w:fill="1E7E45"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已強化</w:t>
            </w:r>
          </w:p>
        </w:tc>
      </w:tr>
      <w:tr>
        <w:tc>
          <w:tcPr>
            <w:tcW w:type="pct" w:w="32%"/>
            <w:shd w:fill="F4F7FB"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222222"/>
                <w:sz w:val="17"/>
                <w:szCs w:val="17"/>
              </w:rPr>
              <w:t xml:space="preserve">資料庫與查詢安全</w:t>
            </w:r>
          </w:p>
        </w:tc>
        <w:tc>
          <w:tcPr>
            <w:tcW w:type="pct" w:w="18%"/>
            <w:shd w:fill="1E7E45"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健全</w:t>
            </w:r>
          </w:p>
        </w:tc>
        <w:tc>
          <w:tcPr>
            <w:tcW w:type="pct" w:w="32%"/>
            <w:shd w:fill="F4F7FB"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222222"/>
                <w:sz w:val="17"/>
                <w:szCs w:val="17"/>
              </w:rPr>
              <w:t xml:space="preserve">公開分享機制</w:t>
            </w:r>
          </w:p>
        </w:tc>
        <w:tc>
          <w:tcPr>
            <w:tcW w:type="pct" w:w="18%"/>
            <w:shd w:fill="1E7E45"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已強化</w:t>
            </w:r>
          </w:p>
        </w:tc>
      </w:tr>
      <w:tr>
        <w:tc>
          <w:tcPr>
            <w:tcW w:type="pct" w:w="32%"/>
            <w:shd w:fill="F4F7FB"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222222"/>
                <w:sz w:val="17"/>
                <w:szCs w:val="17"/>
              </w:rPr>
              <w:t xml:space="preserve">傳輸與平台標頭</w:t>
            </w:r>
          </w:p>
        </w:tc>
        <w:tc>
          <w:tcPr>
            <w:tcW w:type="pct" w:w="18%"/>
            <w:shd w:fill="1E7E45"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已強化</w:t>
            </w:r>
          </w:p>
        </w:tc>
        <w:tc>
          <w:tcPr>
            <w:tcW w:type="pct" w:w="32%"/>
            <w:shd w:fill="F4F7FB"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222222"/>
                <w:sz w:val="17"/>
                <w:szCs w:val="17"/>
              </w:rPr>
              <w:t xml:space="preserve">機密與組態管理</w:t>
            </w:r>
          </w:p>
        </w:tc>
        <w:tc>
          <w:tcPr>
            <w:tcW w:type="pct" w:w="18%"/>
            <w:shd w:fill="1E7E45"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已強化</w:t>
            </w:r>
          </w:p>
        </w:tc>
      </w:tr>
      <w:tr>
        <w:tc>
          <w:tcPr>
            <w:tcW w:type="pct" w:w="32%"/>
            <w:shd w:fill="F4F7FB"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222222"/>
                <w:sz w:val="17"/>
                <w:szCs w:val="17"/>
              </w:rPr>
              <w:t xml:space="preserve">錯誤處理與資訊外洩</w:t>
            </w:r>
          </w:p>
        </w:tc>
        <w:tc>
          <w:tcPr>
            <w:tcW w:type="pct" w:w="18%"/>
            <w:shd w:fill="1E7E45"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已強化</w:t>
            </w:r>
          </w:p>
        </w:tc>
        <w:tc>
          <w:tcPr>
            <w:tcW w:type="pct" w:w="32%"/>
            <w:shd w:fill="F4F7FB"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222222"/>
                <w:sz w:val="17"/>
                <w:szCs w:val="17"/>
              </w:rPr>
              <w:t xml:space="preserve">稽核與記錄</w:t>
            </w:r>
          </w:p>
        </w:tc>
        <w:tc>
          <w:tcPr>
            <w:tcW w:type="pct" w:w="18%"/>
            <w:shd w:fill="2980B9"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已具備</w:t>
            </w:r>
          </w:p>
        </w:tc>
      </w:tr>
      <w:tr>
        <w:tc>
          <w:tcPr>
            <w:tcW w:type="pct" w:w="32%"/>
            <w:shd w:fill="F4F7FB"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222222"/>
                <w:sz w:val="17"/>
                <w:szCs w:val="17"/>
              </w:rPr>
              <w:t xml:space="preserve">相依套件</w:t>
            </w:r>
          </w:p>
        </w:tc>
        <w:tc>
          <w:tcPr>
            <w:tcW w:type="pct" w:w="18%"/>
            <w:shd w:fill="1E7E45"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健全</w:t>
            </w:r>
          </w:p>
        </w:tc>
        <w:tc>
          <w:tcPr>
            <w:tcW w:type="pct" w:w="32%"/>
            <w:tcMar>
              <w:top w:type="dxa" w:w="60"/>
              <w:left w:type="dxa" w:w="95"/>
              <w:bottom w:type="dxa" w:w="60"/>
              <w:right w:type="dxa" w:w="95"/>
            </w:tcMar>
            <w:vAlign w:val="center"/>
          </w:tcPr>
          <w:p>
            <w:pPr>
              <w:spacing w:after="0"/>
            </w:pPr>
            <w:r>
              <w:rPr>
                <w:rFonts w:ascii="Noto Sans TC" w:cs="Noto Sans TC" w:eastAsia="Noto Sans TC" w:hAnsi="Noto Sans TC"/>
                <w:color w:val="222222"/>
                <w:sz w:val="18"/>
                <w:szCs w:val="18"/>
              </w:rPr>
              <w:t xml:space="preserve"/>
            </w:r>
          </w:p>
        </w:tc>
        <w:tc>
          <w:tcPr>
            <w:tcW w:type="pct" w:w="18%"/>
            <w:tcMar>
              <w:top w:type="dxa" w:w="60"/>
              <w:left w:type="dxa" w:w="95"/>
              <w:bottom w:type="dxa" w:w="60"/>
              <w:right w:type="dxa" w:w="95"/>
            </w:tcMar>
            <w:vAlign w:val="center"/>
          </w:tcPr>
          <w:p>
            <w:pPr>
              <w:spacing w:after="0"/>
            </w:pPr>
            <w:r>
              <w:rPr>
                <w:rFonts w:ascii="Noto Sans TC" w:cs="Noto Sans TC" w:eastAsia="Noto Sans TC" w:hAnsi="Noto Sans TC"/>
                <w:color w:val="222222"/>
                <w:sz w:val="18"/>
                <w:szCs w:val="18"/>
              </w:rPr>
              <w:t xml:space="preserve"/>
            </w:r>
          </w:p>
        </w:tc>
      </w:tr>
    </w:tbl>
    <w:p>
      <w:r>
        <w:br w:type="page"/>
      </w:r>
    </w:p>
    <w:p>
      <w:pPr>
        <w:pStyle w:val="Heading1"/>
        <w:spacing w:after="130" w:before="260"/>
      </w:pPr>
      <w:r>
        <w:rPr>
          <w:rFonts w:ascii="Noto Sans TC" w:cs="Noto Sans TC" w:eastAsia="Noto Sans TC" w:hAnsi="Noto Sans TC"/>
          <w:b/>
          <w:bCs/>
          <w:color w:val="1F3864"/>
        </w:rPr>
        <w:t xml:space="preserve">5. 重點關切之深入分析 Key Risk Analysis</w:t>
      </w: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100"/>
        <w:gridCol w:w="100"/>
      </w:tblGrid>
      <w:tr>
        <w:tc>
          <w:tcPr>
            <w:tcW w:type="pct" w:w="80%"/>
            <w:tcMar>
              <w:top w:type="dxa" w:w="60"/>
              <w:left w:type="dxa" w:w="95"/>
              <w:bottom w:type="dxa" w:w="60"/>
              <w:right w:type="dxa" w:w="95"/>
            </w:tcMar>
            <w:vAlign w:val="center"/>
          </w:tcPr>
          <w:p>
            <w:pPr>
              <w:spacing w:after="0"/>
            </w:pPr>
            <w:r>
              <w:rPr>
                <w:rFonts w:ascii="Noto Sans TC" w:cs="Noto Sans TC" w:eastAsia="Noto Sans TC" w:hAnsi="Noto Sans TC"/>
                <w:b/>
                <w:bCs/>
                <w:color w:val="1F3864"/>
                <w:sz w:val="19"/>
                <w:szCs w:val="19"/>
              </w:rPr>
              <w:t xml:space="preserve">① 有害內容 與 ② 系統技術 / 智慧財產之保護</w:t>
            </w:r>
          </w:p>
        </w:tc>
        <w:tc>
          <w:tcPr>
            <w:tcW w:type="pct" w:w="20%"/>
            <w:shd w:fill="27AE60"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8"/>
                <w:szCs w:val="18"/>
              </w:rPr>
              <w:t xml:space="preserve">已控管</w:t>
            </w:r>
          </w:p>
        </w:tc>
      </w:tr>
    </w:tbl>
    <w:p>
      <w:pPr>
        <w:spacing w:after="200" w:before="80"/>
      </w:pPr>
      <w:r>
        <w:rPr>
          <w:rFonts w:ascii="Noto Sans TC" w:cs="Noto Sans TC" w:eastAsia="Noto Sans TC" w:hAnsi="Noto Sans TC"/>
        </w:rPr>
        <w:t xml:space="preserve">評估發現內容護欄原僅覆蓋協作流程;經本次強化,已將雙層審查(本地確定性規則 + 語意分類)擴展至所有使用者輸入抵達 AI 之入口。任何涉及犯罪、危害,或意圖探詢/還原本服務內部技術之請求,均於進入 AI 前被攔截並記錄。AI 指令層另設智慧財產守則,協作成員代理且不具檔案存取能力,構成多層縱深防禦。</w:t>
      </w: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100"/>
        <w:gridCol w:w="100"/>
      </w:tblGrid>
      <w:tr>
        <w:tc>
          <w:tcPr>
            <w:tcW w:type="pct" w:w="80%"/>
            <w:tcMar>
              <w:top w:type="dxa" w:w="60"/>
              <w:left w:type="dxa" w:w="95"/>
              <w:bottom w:type="dxa" w:w="60"/>
              <w:right w:type="dxa" w:w="95"/>
            </w:tcMar>
            <w:vAlign w:val="center"/>
          </w:tcPr>
          <w:p>
            <w:pPr>
              <w:spacing w:after="0"/>
            </w:pPr>
            <w:r>
              <w:rPr>
                <w:rFonts w:ascii="Noto Sans TC" w:cs="Noto Sans TC" w:eastAsia="Noto Sans TC" w:hAnsi="Noto Sans TC"/>
                <w:b/>
                <w:bCs/>
                <w:color w:val="1F3864"/>
                <w:sz w:val="19"/>
                <w:szCs w:val="19"/>
              </w:rPr>
              <w:t xml:space="preserve">③ 跨帳號資料 / 記憶互相干擾</w:t>
            </w:r>
          </w:p>
        </w:tc>
        <w:tc>
          <w:tcPr>
            <w:tcW w:type="pct" w:w="20%"/>
            <w:shd w:fill="27AE60"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8"/>
                <w:szCs w:val="18"/>
              </w:rPr>
              <w:t xml:space="preserve">已驗證</w:t>
            </w:r>
          </w:p>
        </w:tc>
      </w:tr>
    </w:tbl>
    <w:p>
      <w:pPr>
        <w:spacing w:after="200" w:before="80"/>
      </w:pPr>
      <w:r>
        <w:rPr>
          <w:rFonts w:ascii="Noto Sans TC" w:cs="Noto Sans TC" w:eastAsia="Noto Sans TC" w:hAnsi="Noto Sans TC"/>
        </w:rPr>
        <w:t xml:space="preserve">逐一追蹤所有將使用者資料(個人化脈絡、歷史記憶、跨對話脈絡、上傳檔案、協作共享記憶、郵件)注入 AI 提示之位置,確認全部以帳號範圍化,且每條路由於使用資源識別碼前皆驗證歸屬;執行沙盒亦為每使用者獨立並具路徑穿越防護(本次再強化路徑歸屬驗證)。未發現任何 active 跨帳號漏洞。</w:t>
      </w:r>
    </w:p>
    <w:p>
      <w:r>
        <w:br w:type="page"/>
      </w:r>
    </w:p>
    <w:p>
      <w:pPr>
        <w:pStyle w:val="Heading1"/>
        <w:spacing w:after="130" w:before="260"/>
      </w:pPr>
      <w:r>
        <w:rPr>
          <w:rFonts w:ascii="Noto Sans TC" w:cs="Noto Sans TC" w:eastAsia="Noto Sans TC" w:hAnsi="Noto Sans TC"/>
          <w:b/>
          <w:bCs/>
          <w:color w:val="1F3864"/>
        </w:rPr>
        <w:t xml:space="preserve">6. 已修補項目(詳述)Remediation Detail</w:t>
      </w: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100"/>
        <w:gridCol w:w="100"/>
        <w:gridCol w:w="100"/>
        <w:gridCol w:w="100"/>
      </w:tblGrid>
      <w:tr>
        <w:tc>
          <w:tcPr>
            <w:tcW w:type="pct" w:w="14%"/>
            <w:shd w:fill="1F3864"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C-01 / M-09</w:t>
            </w:r>
          </w:p>
        </w:tc>
        <w:tc>
          <w:tcPr>
            <w:tcW w:type="pct" w:w="58%"/>
            <w:tcMar>
              <w:top w:type="dxa" w:w="60"/>
              <w:left w:type="dxa" w:w="95"/>
              <w:bottom w:type="dxa" w:w="60"/>
              <w:right w:type="dxa" w:w="95"/>
            </w:tcMar>
            <w:vAlign w:val="center"/>
          </w:tcPr>
          <w:p>
            <w:pPr>
              <w:spacing w:after="0"/>
            </w:pPr>
            <w:r>
              <w:rPr>
                <w:rFonts w:ascii="Noto Sans TC" w:cs="Noto Sans TC" w:eastAsia="Noto Sans TC" w:hAnsi="Noto Sans TC"/>
                <w:b/>
                <w:bCs/>
                <w:color w:val="222222"/>
                <w:sz w:val="18"/>
                <w:szCs w:val="18"/>
              </w:rPr>
              <w:t xml:space="preserve">認證密鑰治理與啟動期組態驗證</w:t>
            </w:r>
          </w:p>
        </w:tc>
        <w:tc>
          <w:tcPr>
            <w:tcW w:type="pct" w:w="14%"/>
            <w:shd w:fill="C0392B"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極高 Critical</w:t>
            </w:r>
          </w:p>
        </w:tc>
        <w:tc>
          <w:tcPr>
            <w:tcW w:type="pct" w:w="14%"/>
            <w:shd w:fill="1E7E45"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已修補</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領域</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認證與工作階段</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根因</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簽章密鑰存在一組僅供本機開發的預設後備值,且缺乏啟動期強制檢查;部分關鍵憑證採空值後備,設定缺漏時不易察覺。</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修補措施</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新增啟動期組態驗證:正式環境若關鍵密鑰未設定或仍為開發預設值即中止啟動,開發環境則僅發出明確警示而不影響本機作業;權杖驗證明確釘選單一對稱簽章演算法,杜絕演算法混淆。</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驗證方式</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型別檢查通過;開發環境實測為「警示但不中止」;以正式環境參數模擬確認 fail-fast 行為。</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位置</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組態模組、認證與管理中介層</w:t>
            </w:r>
          </w:p>
        </w:tc>
      </w:tr>
    </w:tbl>
    <w:p>
      <w:pPr>
        <w:spacing w:after="130"/>
      </w:pP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100"/>
        <w:gridCol w:w="100"/>
        <w:gridCol w:w="100"/>
        <w:gridCol w:w="100"/>
      </w:tblGrid>
      <w:tr>
        <w:tc>
          <w:tcPr>
            <w:tcW w:type="pct" w:w="14%"/>
            <w:shd w:fill="1F3864"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M-01</w:t>
            </w:r>
          </w:p>
        </w:tc>
        <w:tc>
          <w:tcPr>
            <w:tcW w:type="pct" w:w="58%"/>
            <w:tcMar>
              <w:top w:type="dxa" w:w="60"/>
              <w:left w:type="dxa" w:w="95"/>
              <w:bottom w:type="dxa" w:w="60"/>
              <w:right w:type="dxa" w:w="95"/>
            </w:tcMar>
            <w:vAlign w:val="center"/>
          </w:tcPr>
          <w:p>
            <w:pPr>
              <w:spacing w:after="0"/>
            </w:pPr>
            <w:r>
              <w:rPr>
                <w:rFonts w:ascii="Noto Sans TC" w:cs="Noto Sans TC" w:eastAsia="Noto Sans TC" w:hAnsi="Noto Sans TC"/>
                <w:b/>
                <w:bCs/>
                <w:color w:val="222222"/>
                <w:sz w:val="18"/>
                <w:szCs w:val="18"/>
              </w:rPr>
              <w:t xml:space="preserve">工作階段狀態即時反映</w:t>
            </w:r>
          </w:p>
        </w:tc>
        <w:tc>
          <w:tcPr>
            <w:tcW w:type="pct" w:w="14%"/>
            <w:shd w:fill="F1C40F"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222222"/>
                <w:sz w:val="16"/>
                <w:szCs w:val="16"/>
              </w:rPr>
              <w:t xml:space="preserve">中 Medium</w:t>
            </w:r>
          </w:p>
        </w:tc>
        <w:tc>
          <w:tcPr>
            <w:tcW w:type="pct" w:w="14%"/>
            <w:shd w:fill="1E7E45"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已修補</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領域</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認證與工作階段</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根因</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無狀態權杖簽發後無法即時撤銷,被停用帳號之既有權杖於有效期內仍可使用。</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修補措施</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認證中介層於每次請求重新檢核帳號狀態,使停用帳號之既有權杖立即失效;資料層異常時採 fail-open,避免暫時性故障影響整體可用性。</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驗證方式</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型別檢查通過;模組載入與開發環境啟動正常。</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位置</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認證中介層</w:t>
            </w:r>
          </w:p>
        </w:tc>
      </w:tr>
    </w:tbl>
    <w:p>
      <w:pPr>
        <w:spacing w:after="130"/>
      </w:pP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100"/>
        <w:gridCol w:w="100"/>
        <w:gridCol w:w="100"/>
        <w:gridCol w:w="100"/>
      </w:tblGrid>
      <w:tr>
        <w:tc>
          <w:tcPr>
            <w:tcW w:type="pct" w:w="14%"/>
            <w:shd w:fill="1F3864"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H-02 / M-06</w:t>
            </w:r>
          </w:p>
        </w:tc>
        <w:tc>
          <w:tcPr>
            <w:tcW w:type="pct" w:w="58%"/>
            <w:tcMar>
              <w:top w:type="dxa" w:w="60"/>
              <w:left w:type="dxa" w:w="95"/>
              <w:bottom w:type="dxa" w:w="60"/>
              <w:right w:type="dxa" w:w="95"/>
            </w:tcMar>
            <w:vAlign w:val="center"/>
          </w:tcPr>
          <w:p>
            <w:pPr>
              <w:spacing w:after="0"/>
            </w:pPr>
            <w:r>
              <w:rPr>
                <w:rFonts w:ascii="Noto Sans TC" w:cs="Noto Sans TC" w:eastAsia="Noto Sans TC" w:hAnsi="Noto Sans TC"/>
                <w:b/>
                <w:bCs/>
                <w:color w:val="222222"/>
                <w:sz w:val="18"/>
                <w:szCs w:val="18"/>
              </w:rPr>
              <w:t xml:space="preserve">瀏覽器安全標頭</w:t>
            </w:r>
          </w:p>
        </w:tc>
        <w:tc>
          <w:tcPr>
            <w:tcW w:type="pct" w:w="14%"/>
            <w:shd w:fill="E67E22"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高 High</w:t>
            </w:r>
          </w:p>
        </w:tc>
        <w:tc>
          <w:tcPr>
            <w:tcW w:type="pct" w:w="14%"/>
            <w:shd w:fill="1E7E45"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已修補</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領域</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傳輸與平台</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根因</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缺少標準 HTTP 安全標頭(內容型別嗅探防護、傳輸層安全、引用來源政策等)。</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修補措施</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導入標準安全標頭中介層;考量本服務需跨來源提供檔案預覽,內容安全與框架政策採相容性設定,確保既有預覽不受影響。</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驗證方式</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型別檢查通過;跨來源檔案預覽流程確認正常。</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位置</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服務進入點</w:t>
            </w:r>
          </w:p>
        </w:tc>
      </w:tr>
    </w:tbl>
    <w:p>
      <w:pPr>
        <w:spacing w:after="130"/>
      </w:pP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100"/>
        <w:gridCol w:w="100"/>
        <w:gridCol w:w="100"/>
        <w:gridCol w:w="100"/>
      </w:tblGrid>
      <w:tr>
        <w:tc>
          <w:tcPr>
            <w:tcW w:type="pct" w:w="14%"/>
            <w:shd w:fill="1F3864"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M-07 / M-08</w:t>
            </w:r>
          </w:p>
        </w:tc>
        <w:tc>
          <w:tcPr>
            <w:tcW w:type="pct" w:w="58%"/>
            <w:tcMar>
              <w:top w:type="dxa" w:w="60"/>
              <w:left w:type="dxa" w:w="95"/>
              <w:bottom w:type="dxa" w:w="60"/>
              <w:right w:type="dxa" w:w="95"/>
            </w:tcMar>
            <w:vAlign w:val="center"/>
          </w:tcPr>
          <w:p>
            <w:pPr>
              <w:spacing w:after="0"/>
            </w:pPr>
            <w:r>
              <w:rPr>
                <w:rFonts w:ascii="Noto Sans TC" w:cs="Noto Sans TC" w:eastAsia="Noto Sans TC" w:hAnsi="Noto Sans TC"/>
                <w:b/>
                <w:bCs/>
                <w:color w:val="222222"/>
                <w:sz w:val="18"/>
                <w:szCs w:val="18"/>
              </w:rPr>
              <w:t xml:space="preserve">全域錯誤處理與資訊外洩防護</w:t>
            </w:r>
          </w:p>
        </w:tc>
        <w:tc>
          <w:tcPr>
            <w:tcW w:type="pct" w:w="14%"/>
            <w:shd w:fill="F1C40F"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222222"/>
                <w:sz w:val="16"/>
                <w:szCs w:val="16"/>
              </w:rPr>
              <w:t xml:space="preserve">中 Medium</w:t>
            </w:r>
          </w:p>
        </w:tc>
        <w:tc>
          <w:tcPr>
            <w:tcW w:type="pct" w:w="14%"/>
            <w:shd w:fill="1E7E45"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已修補</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領域</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錯誤處理</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根因</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缺少全域錯誤處理層;部分路由將內部錯誤訊息直接回傳用戶端,可能洩漏內部細節。</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修補措施</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新增全域錯誤處理中介層:正式環境僅回傳通用訊息,內部細節(堆疊、路徑等)僅記錄於伺服器端。</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驗證方式</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型別檢查通過;錯誤回應於正式環境參數下確認為通用訊息。</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位置</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服務進入點</w:t>
            </w:r>
          </w:p>
        </w:tc>
      </w:tr>
    </w:tbl>
    <w:p>
      <w:pPr>
        <w:spacing w:after="130"/>
      </w:pP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100"/>
        <w:gridCol w:w="100"/>
        <w:gridCol w:w="100"/>
        <w:gridCol w:w="100"/>
      </w:tblGrid>
      <w:tr>
        <w:tc>
          <w:tcPr>
            <w:tcW w:type="pct" w:w="14%"/>
            <w:shd w:fill="1F3864"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M-02</w:t>
            </w:r>
          </w:p>
        </w:tc>
        <w:tc>
          <w:tcPr>
            <w:tcW w:type="pct" w:w="58%"/>
            <w:tcMar>
              <w:top w:type="dxa" w:w="60"/>
              <w:left w:type="dxa" w:w="95"/>
              <w:bottom w:type="dxa" w:w="60"/>
              <w:right w:type="dxa" w:w="95"/>
            </w:tcMar>
            <w:vAlign w:val="center"/>
          </w:tcPr>
          <w:p>
            <w:pPr>
              <w:spacing w:after="0"/>
            </w:pPr>
            <w:r>
              <w:rPr>
                <w:rFonts w:ascii="Noto Sans TC" w:cs="Noto Sans TC" w:eastAsia="Noto Sans TC" w:hAnsi="Noto Sans TC"/>
                <w:b/>
                <w:bCs/>
                <w:color w:val="222222"/>
                <w:sz w:val="18"/>
                <w:szCs w:val="18"/>
              </w:rPr>
              <w:t xml:space="preserve">公開分享之個資最小揭露</w:t>
            </w:r>
          </w:p>
        </w:tc>
        <w:tc>
          <w:tcPr>
            <w:tcW w:type="pct" w:w="14%"/>
            <w:shd w:fill="F1C40F"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222222"/>
                <w:sz w:val="16"/>
                <w:szCs w:val="16"/>
              </w:rPr>
              <w:t xml:space="preserve">中 Medium</w:t>
            </w:r>
          </w:p>
        </w:tc>
        <w:tc>
          <w:tcPr>
            <w:tcW w:type="pct" w:w="14%"/>
            <w:shd w:fill="1E7E45"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已修補</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領域</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隱私</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根因</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公開對話分享之回應包含擁有者電子郵件,屬非必要之個資揭露。</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修補措施</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公開分享回應移除電子郵件,改以顯示名稱或通用標籤呈現。</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驗證方式</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型別檢查通過;分享回應欄位確認不含電子郵件。</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位置</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分享路由</w:t>
            </w:r>
          </w:p>
        </w:tc>
      </w:tr>
    </w:tbl>
    <w:p>
      <w:pPr>
        <w:spacing w:after="130"/>
      </w:pP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100"/>
        <w:gridCol w:w="100"/>
        <w:gridCol w:w="100"/>
        <w:gridCol w:w="100"/>
      </w:tblGrid>
      <w:tr>
        <w:tc>
          <w:tcPr>
            <w:tcW w:type="pct" w:w="14%"/>
            <w:shd w:fill="1F3864"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M-03 / L-02</w:t>
            </w:r>
          </w:p>
        </w:tc>
        <w:tc>
          <w:tcPr>
            <w:tcW w:type="pct" w:w="58%"/>
            <w:tcMar>
              <w:top w:type="dxa" w:w="60"/>
              <w:left w:type="dxa" w:w="95"/>
              <w:bottom w:type="dxa" w:w="60"/>
              <w:right w:type="dxa" w:w="95"/>
            </w:tcMar>
            <w:vAlign w:val="center"/>
          </w:tcPr>
          <w:p>
            <w:pPr>
              <w:spacing w:after="0"/>
            </w:pPr>
            <w:r>
              <w:rPr>
                <w:rFonts w:ascii="Noto Sans TC" w:cs="Noto Sans TC" w:eastAsia="Noto Sans TC" w:hAnsi="Noto Sans TC"/>
                <w:b/>
                <w:bCs/>
                <w:color w:val="222222"/>
                <w:sz w:val="18"/>
                <w:szCs w:val="18"/>
              </w:rPr>
              <w:t xml:space="preserve">亂數來源強化</w:t>
            </w:r>
          </w:p>
        </w:tc>
        <w:tc>
          <w:tcPr>
            <w:tcW w:type="pct" w:w="14%"/>
            <w:shd w:fill="F1C40F"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222222"/>
                <w:sz w:val="16"/>
                <w:szCs w:val="16"/>
              </w:rPr>
              <w:t xml:space="preserve">中 Medium</w:t>
            </w:r>
          </w:p>
        </w:tc>
        <w:tc>
          <w:tcPr>
            <w:tcW w:type="pct" w:w="14%"/>
            <w:shd w:fill="1E7E45"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已修補</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領域</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密碼學</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根因</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帳號綁定權杖與驗證碼採用非加密級之亂數來源。</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修補措施</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改用作業系統提供之加密級亂數來源,維持原有格式與長度,不影響相容性。</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驗證方式</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型別檢查通過;產生格式確認一致。</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位置</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綁定流程、認證路由</w:t>
            </w:r>
          </w:p>
        </w:tc>
      </w:tr>
    </w:tbl>
    <w:p>
      <w:pPr>
        <w:spacing w:after="130"/>
      </w:pP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100"/>
        <w:gridCol w:w="100"/>
        <w:gridCol w:w="100"/>
        <w:gridCol w:w="100"/>
      </w:tblGrid>
      <w:tr>
        <w:tc>
          <w:tcPr>
            <w:tcW w:type="pct" w:w="14%"/>
            <w:shd w:fill="1F3864"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M-04</w:t>
            </w:r>
          </w:p>
        </w:tc>
        <w:tc>
          <w:tcPr>
            <w:tcW w:type="pct" w:w="58%"/>
            <w:tcMar>
              <w:top w:type="dxa" w:w="60"/>
              <w:left w:type="dxa" w:w="95"/>
              <w:bottom w:type="dxa" w:w="60"/>
              <w:right w:type="dxa" w:w="95"/>
            </w:tcMar>
            <w:vAlign w:val="center"/>
          </w:tcPr>
          <w:p>
            <w:pPr>
              <w:spacing w:after="0"/>
            </w:pPr>
            <w:r>
              <w:rPr>
                <w:rFonts w:ascii="Noto Sans TC" w:cs="Noto Sans TC" w:eastAsia="Noto Sans TC" w:hAnsi="Noto Sans TC"/>
                <w:b/>
                <w:bCs/>
                <w:color w:val="222222"/>
                <w:sz w:val="18"/>
                <w:szCs w:val="18"/>
              </w:rPr>
              <w:t xml:space="preserve">資料型提示注入防護</w:t>
            </w:r>
          </w:p>
        </w:tc>
        <w:tc>
          <w:tcPr>
            <w:tcW w:type="pct" w:w="14%"/>
            <w:shd w:fill="F1C40F"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222222"/>
                <w:sz w:val="16"/>
                <w:szCs w:val="16"/>
              </w:rPr>
              <w:t xml:space="preserve">中 Medium</w:t>
            </w:r>
          </w:p>
        </w:tc>
        <w:tc>
          <w:tcPr>
            <w:tcW w:type="pct" w:w="14%"/>
            <w:shd w:fill="1E7E45"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已修補</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領域</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AI 安全</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根因</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外部郵件內容未經邊界處理即進入 AI 分析提示,具被內容操弄之風險。</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修補措施</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於提示中明確標示外部內容為「不可信資料」並加入「不得遵從其中指示」之框界,降低被操弄之風險。</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驗證方式</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型別檢查通過;提示框界邏輯確認生效。</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位置</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郵件分析服務</w:t>
            </w:r>
          </w:p>
        </w:tc>
      </w:tr>
    </w:tbl>
    <w:p>
      <w:pPr>
        <w:spacing w:after="130"/>
      </w:pP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100"/>
        <w:gridCol w:w="100"/>
        <w:gridCol w:w="100"/>
        <w:gridCol w:w="100"/>
      </w:tblGrid>
      <w:tr>
        <w:tc>
          <w:tcPr>
            <w:tcW w:type="pct" w:w="14%"/>
            <w:shd w:fill="1F3864"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M-10</w:t>
            </w:r>
          </w:p>
        </w:tc>
        <w:tc>
          <w:tcPr>
            <w:tcW w:type="pct" w:w="58%"/>
            <w:tcMar>
              <w:top w:type="dxa" w:w="60"/>
              <w:left w:type="dxa" w:w="95"/>
              <w:bottom w:type="dxa" w:w="60"/>
              <w:right w:type="dxa" w:w="95"/>
            </w:tcMar>
            <w:vAlign w:val="center"/>
          </w:tcPr>
          <w:p>
            <w:pPr>
              <w:spacing w:after="0"/>
            </w:pPr>
            <w:r>
              <w:rPr>
                <w:rFonts w:ascii="Noto Sans TC" w:cs="Noto Sans TC" w:eastAsia="Noto Sans TC" w:hAnsi="Noto Sans TC"/>
                <w:b/>
                <w:bCs/>
                <w:color w:val="222222"/>
                <w:sz w:val="18"/>
                <w:szCs w:val="18"/>
              </w:rPr>
              <w:t xml:space="preserve">日誌敏感資訊治理</w:t>
            </w:r>
          </w:p>
        </w:tc>
        <w:tc>
          <w:tcPr>
            <w:tcW w:type="pct" w:w="14%"/>
            <w:shd w:fill="F1C40F"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222222"/>
                <w:sz w:val="16"/>
                <w:szCs w:val="16"/>
              </w:rPr>
              <w:t xml:space="preserve">中 Medium</w:t>
            </w:r>
          </w:p>
        </w:tc>
        <w:tc>
          <w:tcPr>
            <w:tcW w:type="pct" w:w="14%"/>
            <w:shd w:fill="1E7E45"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已修補</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領域</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記錄</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根因</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完整執行參數與提示片段在所有環境皆輸出至日誌。</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修補措施</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將詳細參數/提示之輸出限定於非正式環境,正式環境僅保留精簡日誌。</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驗證方式</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型別檢查通過。</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位置</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AI 執行服務</w:t>
            </w:r>
          </w:p>
        </w:tc>
      </w:tr>
    </w:tbl>
    <w:p>
      <w:pPr>
        <w:spacing w:after="130"/>
      </w:pP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100"/>
        <w:gridCol w:w="100"/>
        <w:gridCol w:w="100"/>
        <w:gridCol w:w="100"/>
      </w:tblGrid>
      <w:tr>
        <w:tc>
          <w:tcPr>
            <w:tcW w:type="pct" w:w="14%"/>
            <w:shd w:fill="1F3864"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M-05</w:t>
            </w:r>
          </w:p>
        </w:tc>
        <w:tc>
          <w:tcPr>
            <w:tcW w:type="pct" w:w="58%"/>
            <w:tcMar>
              <w:top w:type="dxa" w:w="60"/>
              <w:left w:type="dxa" w:w="95"/>
              <w:bottom w:type="dxa" w:w="60"/>
              <w:right w:type="dxa" w:w="95"/>
            </w:tcMar>
            <w:vAlign w:val="center"/>
          </w:tcPr>
          <w:p>
            <w:pPr>
              <w:spacing w:after="0"/>
            </w:pPr>
            <w:r>
              <w:rPr>
                <w:rFonts w:ascii="Noto Sans TC" w:cs="Noto Sans TC" w:eastAsia="Noto Sans TC" w:hAnsi="Noto Sans TC"/>
                <w:b/>
                <w:bCs/>
                <w:color w:val="222222"/>
                <w:sz w:val="18"/>
                <w:szCs w:val="18"/>
              </w:rPr>
              <w:t xml:space="preserve">壓縮式攻擊(解壓膨脹)防護</w:t>
            </w:r>
          </w:p>
        </w:tc>
        <w:tc>
          <w:tcPr>
            <w:tcW w:type="pct" w:w="14%"/>
            <w:shd w:fill="F1C40F"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222222"/>
                <w:sz w:val="16"/>
                <w:szCs w:val="16"/>
              </w:rPr>
              <w:t xml:space="preserve">中 Medium</w:t>
            </w:r>
          </w:p>
        </w:tc>
        <w:tc>
          <w:tcPr>
            <w:tcW w:type="pct" w:w="14%"/>
            <w:shd w:fill="1E7E45"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已修補</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領域</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檔案上傳</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根因</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壓縮容器型檔案(如 Office 文件)缺乏解壓膨脹比例與總量之防護。</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修補措施</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新增壓縮容器中央目錄之靜態解析(不解壓、無新增相依),當解壓後總量或膨脹比例異常即拒收;閾值遠高於正常檔案以避免誤判。</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驗證方式</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型別檢查通過;以合法文件實測掃描為「通過」,確認無誤判。</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位置</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上傳掃描服務</w:t>
            </w:r>
          </w:p>
        </w:tc>
      </w:tr>
    </w:tbl>
    <w:p>
      <w:pPr>
        <w:spacing w:after="130"/>
      </w:pP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100"/>
        <w:gridCol w:w="100"/>
        <w:gridCol w:w="100"/>
        <w:gridCol w:w="100"/>
      </w:tblGrid>
      <w:tr>
        <w:tc>
          <w:tcPr>
            <w:tcW w:type="pct" w:w="14%"/>
            <w:shd w:fill="1F3864"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L-01</w:t>
            </w:r>
          </w:p>
        </w:tc>
        <w:tc>
          <w:tcPr>
            <w:tcW w:type="pct" w:w="58%"/>
            <w:tcMar>
              <w:top w:type="dxa" w:w="60"/>
              <w:left w:type="dxa" w:w="95"/>
              <w:bottom w:type="dxa" w:w="60"/>
              <w:right w:type="dxa" w:w="95"/>
            </w:tcMar>
            <w:vAlign w:val="center"/>
          </w:tcPr>
          <w:p>
            <w:pPr>
              <w:spacing w:after="0"/>
            </w:pPr>
            <w:r>
              <w:rPr>
                <w:rFonts w:ascii="Noto Sans TC" w:cs="Noto Sans TC" w:eastAsia="Noto Sans TC" w:hAnsi="Noto Sans TC"/>
                <w:b/>
                <w:bCs/>
                <w:color w:val="222222"/>
                <w:sz w:val="18"/>
                <w:szCs w:val="18"/>
              </w:rPr>
              <w:t xml:space="preserve">命令注入面收斂</w:t>
            </w:r>
          </w:p>
        </w:tc>
        <w:tc>
          <w:tcPr>
            <w:tcW w:type="pct" w:w="14%"/>
            <w:shd w:fill="3498DB"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低 Low</w:t>
            </w:r>
          </w:p>
        </w:tc>
        <w:tc>
          <w:tcPr>
            <w:tcW w:type="pct" w:w="14%"/>
            <w:shd w:fill="1E7E45"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已修補</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領域</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執行安全</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根因</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文件重建流程將 AI 自選之檔名併入指令字串,具間接命令注入面。</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修補措施</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對檔名進行白名單消毒(移除指令危險字元)後再行使用;對外顯示之檔名不受影響。</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驗證方式</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型別檢查通過。</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位置</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文件重建服務</w:t>
            </w:r>
          </w:p>
        </w:tc>
      </w:tr>
    </w:tbl>
    <w:p>
      <w:pPr>
        <w:spacing w:after="130"/>
      </w:pP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100"/>
        <w:gridCol w:w="100"/>
        <w:gridCol w:w="100"/>
        <w:gridCol w:w="100"/>
      </w:tblGrid>
      <w:tr>
        <w:tc>
          <w:tcPr>
            <w:tcW w:type="pct" w:w="14%"/>
            <w:shd w:fill="1F3864"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L-04</w:t>
            </w:r>
          </w:p>
        </w:tc>
        <w:tc>
          <w:tcPr>
            <w:tcW w:type="pct" w:w="58%"/>
            <w:tcMar>
              <w:top w:type="dxa" w:w="60"/>
              <w:left w:type="dxa" w:w="95"/>
              <w:bottom w:type="dxa" w:w="60"/>
              <w:right w:type="dxa" w:w="95"/>
            </w:tcMar>
            <w:vAlign w:val="center"/>
          </w:tcPr>
          <w:p>
            <w:pPr>
              <w:spacing w:after="0"/>
            </w:pPr>
            <w:r>
              <w:rPr>
                <w:rFonts w:ascii="Noto Sans TC" w:cs="Noto Sans TC" w:eastAsia="Noto Sans TC" w:hAnsi="Noto Sans TC"/>
                <w:b/>
                <w:bCs/>
                <w:color w:val="222222"/>
                <w:sz w:val="18"/>
                <w:szCs w:val="18"/>
              </w:rPr>
              <w:t xml:space="preserve">路徑歸屬驗證強化</w:t>
            </w:r>
          </w:p>
        </w:tc>
        <w:tc>
          <w:tcPr>
            <w:tcW w:type="pct" w:w="14%"/>
            <w:shd w:fill="3498DB"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低 Low</w:t>
            </w:r>
          </w:p>
        </w:tc>
        <w:tc>
          <w:tcPr>
            <w:tcW w:type="pct" w:w="14%"/>
            <w:shd w:fill="1E7E45"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已修補</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領域</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執行安全</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根因</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路徑歸屬驗證採前綴比對,理論上存在相似路徑之邊界情形。</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修補措施</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要求精確匹配或位於使用者根目錄之下(含路徑分隔),杜絕相似前綴繞過。</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驗證方式</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型別檢查通過。</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位置</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沙盒服務</w:t>
            </w:r>
          </w:p>
        </w:tc>
      </w:tr>
    </w:tbl>
    <w:p>
      <w:pPr>
        <w:spacing w:after="130"/>
      </w:pPr>
    </w:p>
    <w:p>
      <w:pPr>
        <w:pStyle w:val="Heading2"/>
        <w:spacing w:after="130" w:before="260"/>
      </w:pPr>
      <w:r>
        <w:rPr>
          <w:rFonts w:ascii="Noto Sans TC" w:cs="Noto Sans TC" w:eastAsia="Noto Sans TC" w:hAnsi="Noto Sans TC"/>
          <w:b/>
          <w:bCs/>
          <w:color w:val="1F3864"/>
        </w:rPr>
        <w:t xml:space="preserve">AI 安全強化(詳述)</w:t>
      </w:r>
    </w:p>
    <w:p>
      <w:pPr>
        <w:pStyle w:val="ListParagraph"/>
        <w:numPr>
          <w:ilvl w:val="0"/>
          <w:numId w:val="1"/>
        </w:numPr>
        <w:spacing w:after="70" w:line="268"/>
      </w:pPr>
      <w:r>
        <w:rPr>
          <w:rFonts w:ascii="Noto Sans TC" w:cs="Noto Sans TC" w:eastAsia="Noto Sans TC" w:hAnsi="Noto Sans TC"/>
        </w:rPr>
        <w:t xml:space="preserve">全系統內容安全護欄:六類惡意意圖(違法暴力、入侵與破壞、竊取機密、騷擾、危害他人、探詢系統內部技術)之雙層審查(本地確定性規則 + 語意分類),涵蓋所有使用者輸入抵達 AI 之入口(網頁、訊息平台、文件編輯)。</w:t>
      </w:r>
    </w:p>
    <w:p>
      <w:pPr>
        <w:pStyle w:val="ListParagraph"/>
        <w:numPr>
          <w:ilvl w:val="0"/>
          <w:numId w:val="1"/>
        </w:numPr>
        <w:spacing w:after="70" w:line="268"/>
      </w:pPr>
      <w:r>
        <w:rPr>
          <w:rFonts w:ascii="Noto Sans TC" w:cs="Noto Sans TC" w:eastAsia="Noto Sans TC" w:hAnsi="Noto Sans TC"/>
        </w:rPr>
        <w:t xml:space="preserve">智慧財產守則:AI 指令層明確禁止揭露、教學或還原本服務之內部設計與技術;協作模式之成員代理不具任何檔案存取能力。</w:t>
      </w:r>
    </w:p>
    <w:p>
      <w:pPr>
        <w:pStyle w:val="ListParagraph"/>
        <w:numPr>
          <w:ilvl w:val="0"/>
          <w:numId w:val="1"/>
        </w:numPr>
        <w:spacing w:after="70" w:line="268"/>
      </w:pPr>
      <w:r>
        <w:rPr>
          <w:rFonts w:ascii="Noto Sans TC" w:cs="Noto Sans TC" w:eastAsia="Noto Sans TC" w:hAnsi="Noto Sans TC"/>
        </w:rPr>
        <w:t xml:space="preserve">角色邊界:協作成員僅於其專業角色範圍內回應,對超出範圍之請求予以婉拒。</w:t>
      </w:r>
    </w:p>
    <w:p>
      <w:pPr>
        <w:pStyle w:val="ListParagraph"/>
        <w:numPr>
          <w:ilvl w:val="0"/>
          <w:numId w:val="1"/>
        </w:numPr>
        <w:spacing w:after="70" w:line="268"/>
      </w:pPr>
      <w:r>
        <w:rPr>
          <w:rFonts w:ascii="Noto Sans TC" w:cs="Noto Sans TC" w:eastAsia="Noto Sans TC" w:hAnsi="Noto Sans TC"/>
        </w:rPr>
        <w:t xml:space="preserve">失效保護:語意審查具逾時與退回機制,外部服務異常時不影響服務可用性。</w:t>
      </w:r>
    </w:p>
    <w:p>
      <w:pPr>
        <w:pStyle w:val="ListParagraph"/>
        <w:numPr>
          <w:ilvl w:val="0"/>
          <w:numId w:val="1"/>
        </w:numPr>
        <w:spacing w:after="70" w:line="268"/>
      </w:pPr>
      <w:r>
        <w:rPr>
          <w:rFonts w:ascii="Noto Sans TC" w:cs="Noto Sans TC" w:eastAsia="Noto Sans TC" w:hAnsi="Noto Sans TC"/>
        </w:rPr>
        <w:t xml:space="preserve">拒絕訊息治理:對外拒絕訊息不揭露過濾規則之細節,避免被反向推測。</w:t>
      </w:r>
    </w:p>
    <w:p>
      <w:r>
        <w:br w:type="page"/>
      </w:r>
    </w:p>
    <w:p>
      <w:pPr>
        <w:pStyle w:val="Heading1"/>
        <w:spacing w:after="130" w:before="260"/>
      </w:pPr>
      <w:r>
        <w:rPr>
          <w:rFonts w:ascii="Noto Sans TC" w:cs="Noto Sans TC" w:eastAsia="Noto Sans TC" w:hAnsi="Noto Sans TC"/>
          <w:b/>
          <w:bCs/>
          <w:color w:val="1F3864"/>
        </w:rPr>
        <w:t xml:space="preserve">7. 殘餘風險登錄 Residual Risk Register</w:t>
      </w:r>
    </w:p>
    <w:p>
      <w:pPr>
        <w:spacing w:after="150"/>
      </w:pPr>
      <w:r>
        <w:rPr>
          <w:rFonts w:ascii="Noto Sans TC" w:cs="Noto Sans TC" w:eastAsia="Noto Sans TC" w:hAnsi="Noto Sans TC"/>
        </w:rPr>
        <w:t xml:space="preserve">下列項目為經評估後之正式風險決策(非未處理之缺失)。每項載明底層風險、處置、理由、補償控制與再評估條件。</w:t>
      </w: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100"/>
        <w:gridCol w:w="100"/>
        <w:gridCol w:w="100"/>
        <w:gridCol w:w="100"/>
      </w:tblGrid>
      <w:tr>
        <w:tc>
          <w:tcPr>
            <w:tcW w:type="pct" w:w="12%"/>
            <w:shd w:fill="1F3864"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H-01</w:t>
            </w:r>
          </w:p>
        </w:tc>
        <w:tc>
          <w:tcPr>
            <w:tcW w:type="pct" w:w="56%"/>
            <w:tcMar>
              <w:top w:type="dxa" w:w="60"/>
              <w:left w:type="dxa" w:w="95"/>
              <w:bottom w:type="dxa" w:w="60"/>
              <w:right w:type="dxa" w:w="95"/>
            </w:tcMar>
            <w:vAlign w:val="center"/>
          </w:tcPr>
          <w:p>
            <w:pPr>
              <w:spacing w:after="0"/>
            </w:pPr>
            <w:r>
              <w:rPr>
                <w:rFonts w:ascii="Noto Sans TC" w:cs="Noto Sans TC" w:eastAsia="Noto Sans TC" w:hAnsi="Noto Sans TC"/>
                <w:b/>
                <w:bCs/>
                <w:color w:val="222222"/>
                <w:sz w:val="18"/>
                <w:szCs w:val="18"/>
              </w:rPr>
              <w:t xml:space="preserve">認證權杖之用戶端儲存</w:t>
            </w:r>
          </w:p>
        </w:tc>
        <w:tc>
          <w:tcPr>
            <w:tcW w:type="pct" w:w="14%"/>
            <w:shd w:fill="E67E22"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高 High</w:t>
            </w:r>
          </w:p>
        </w:tc>
        <w:tc>
          <w:tcPr>
            <w:tcW w:type="pct" w:w="18%"/>
            <w:shd w:fill="5D6D7E"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5"/>
                <w:szCs w:val="15"/>
              </w:rPr>
              <w:t xml:space="preserve">風險已接受</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理由</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完整改用伺服器端 Cookie 並導入跨站請求偽造防護,需變更前後端每一個已認證請求,與「不影響現有使用」之原則直接衝突,故本期不執行;此為前後端分離架構之常見取捨。</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補償控制</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前端框架預設輸出跳脫(無不安全之內嵌注入點)、使用者輸入經多層消毒、已導入內容型別嗅探防護標頭、權杖具有限有效期。</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再評估條件</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於認證模組重構時一併導入,並評估加入權杖撤銷機制。</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位置</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前端工作階段</w:t>
            </w:r>
          </w:p>
        </w:tc>
      </w:tr>
    </w:tbl>
    <w:p>
      <w:pPr>
        <w:spacing w:after="130"/>
      </w:pP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100"/>
        <w:gridCol w:w="100"/>
        <w:gridCol w:w="100"/>
        <w:gridCol w:w="100"/>
      </w:tblGrid>
      <w:tr>
        <w:tc>
          <w:tcPr>
            <w:tcW w:type="pct" w:w="12%"/>
            <w:shd w:fill="1F3864"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H-03</w:t>
            </w:r>
          </w:p>
        </w:tc>
        <w:tc>
          <w:tcPr>
            <w:tcW w:type="pct" w:w="56%"/>
            <w:tcMar>
              <w:top w:type="dxa" w:w="60"/>
              <w:left w:type="dxa" w:w="95"/>
              <w:bottom w:type="dxa" w:w="60"/>
              <w:right w:type="dxa" w:w="95"/>
            </w:tcMar>
            <w:vAlign w:val="center"/>
          </w:tcPr>
          <w:p>
            <w:pPr>
              <w:spacing w:after="0"/>
            </w:pPr>
            <w:r>
              <w:rPr>
                <w:rFonts w:ascii="Noto Sans TC" w:cs="Noto Sans TC" w:eastAsia="Noto Sans TC" w:hAnsi="Noto Sans TC"/>
                <w:b/>
                <w:bCs/>
                <w:color w:val="222222"/>
                <w:sz w:val="18"/>
                <w:szCs w:val="18"/>
              </w:rPr>
              <w:t xml:space="preserve">速率限制之分散式化</w:t>
            </w:r>
          </w:p>
        </w:tc>
        <w:tc>
          <w:tcPr>
            <w:tcW w:type="pct" w:w="14%"/>
            <w:shd w:fill="F1C40F"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222222"/>
                <w:sz w:val="16"/>
                <w:szCs w:val="16"/>
              </w:rPr>
              <w:t xml:space="preserve">中 Medium</w:t>
            </w:r>
          </w:p>
        </w:tc>
        <w:tc>
          <w:tcPr>
            <w:tcW w:type="pct" w:w="18%"/>
            <w:shd w:fill="2980B9"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5"/>
                <w:szCs w:val="15"/>
              </w:rPr>
              <w:t xml:space="preserve">條件式 · 現況可接受</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理由</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現行限流對單一節點部署運作正確;認證端點另具來源端與帳號層級之節流與鎖定。僅在水平擴展為多節點時才需共享式儲存。</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補償控制</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認證端點之獨立節流與鎖定;生成端點之限流;已新增反向代理信任之環境開關(預設關閉)。</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再評估條件</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服務擴展為多實例部署時,改用共享式儲存之限流。</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位置</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限流中介層</w:t>
            </w:r>
          </w:p>
        </w:tc>
      </w:tr>
    </w:tbl>
    <w:p>
      <w:pPr>
        <w:spacing w:after="130"/>
      </w:pP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100"/>
        <w:gridCol w:w="100"/>
        <w:gridCol w:w="100"/>
        <w:gridCol w:w="100"/>
      </w:tblGrid>
      <w:tr>
        <w:tc>
          <w:tcPr>
            <w:tcW w:type="pct" w:w="12%"/>
            <w:shd w:fill="1F3864"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H-04</w:t>
            </w:r>
          </w:p>
        </w:tc>
        <w:tc>
          <w:tcPr>
            <w:tcW w:type="pct" w:w="56%"/>
            <w:tcMar>
              <w:top w:type="dxa" w:w="60"/>
              <w:left w:type="dxa" w:w="95"/>
              <w:bottom w:type="dxa" w:w="60"/>
              <w:right w:type="dxa" w:w="95"/>
            </w:tcMar>
            <w:vAlign w:val="center"/>
          </w:tcPr>
          <w:p>
            <w:pPr>
              <w:spacing w:after="0"/>
            </w:pPr>
            <w:r>
              <w:rPr>
                <w:rFonts w:ascii="Noto Sans TC" w:cs="Noto Sans TC" w:eastAsia="Noto Sans TC" w:hAnsi="Noto Sans TC"/>
                <w:b/>
                <w:bCs/>
                <w:color w:val="222222"/>
                <w:sz w:val="18"/>
                <w:szCs w:val="18"/>
              </w:rPr>
              <w:t xml:space="preserve">AI 工作代理之檔案系統隔離</w:t>
            </w:r>
          </w:p>
        </w:tc>
        <w:tc>
          <w:tcPr>
            <w:tcW w:type="pct" w:w="14%"/>
            <w:shd w:fill="E67E22"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高 High</w:t>
            </w:r>
          </w:p>
        </w:tc>
        <w:tc>
          <w:tcPr>
            <w:tcW w:type="pct" w:w="18%"/>
            <w:shd w:fill="7F8C8D"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5"/>
                <w:szCs w:val="15"/>
              </w:rPr>
              <w:t xml:space="preserve">客戶決議維持現狀</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理由</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經與負責人確認,維持以指令/內容層防護為主;檔案系統層級之硬隔離(調整工作目錄位置或採作業系統沙盒)涉及資料位置與部署變更,經權衡後本期暫不執行。</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補償控制</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請求進入前之內容護欄攔截、AI 指令層之機密守則、協作成員代理無檔案工具、危險一行式指令封鎖。</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再評估條件</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若決定提升至檔案系統層級之硬隔離。</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位置</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AI 執行環境</w:t>
            </w:r>
          </w:p>
        </w:tc>
      </w:tr>
    </w:tbl>
    <w:p>
      <w:pPr>
        <w:spacing w:after="130"/>
      </w:pP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100"/>
        <w:gridCol w:w="100"/>
        <w:gridCol w:w="100"/>
        <w:gridCol w:w="100"/>
      </w:tblGrid>
      <w:tr>
        <w:tc>
          <w:tcPr>
            <w:tcW w:type="pct" w:w="12%"/>
            <w:shd w:fill="1F3864"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L-03</w:t>
            </w:r>
          </w:p>
        </w:tc>
        <w:tc>
          <w:tcPr>
            <w:tcW w:type="pct" w:w="56%"/>
            <w:tcMar>
              <w:top w:type="dxa" w:w="60"/>
              <w:left w:type="dxa" w:w="95"/>
              <w:bottom w:type="dxa" w:w="60"/>
              <w:right w:type="dxa" w:w="95"/>
            </w:tcMar>
            <w:vAlign w:val="center"/>
          </w:tcPr>
          <w:p>
            <w:pPr>
              <w:spacing w:after="0"/>
            </w:pPr>
            <w:r>
              <w:rPr>
                <w:rFonts w:ascii="Noto Sans TC" w:cs="Noto Sans TC" w:eastAsia="Noto Sans TC" w:hAnsi="Noto Sans TC"/>
                <w:b/>
                <w:bCs/>
                <w:color w:val="222222"/>
                <w:sz w:val="18"/>
                <w:szCs w:val="18"/>
              </w:rPr>
              <w:t xml:space="preserve">內嵌之登入白名單預設值</w:t>
            </w:r>
          </w:p>
        </w:tc>
        <w:tc>
          <w:tcPr>
            <w:tcW w:type="pct" w:w="14%"/>
            <w:shd w:fill="3498DB"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低 Low</w:t>
            </w:r>
          </w:p>
        </w:tc>
        <w:tc>
          <w:tcPr>
            <w:tcW w:type="pct" w:w="18%"/>
            <w:shd w:fill="16A085"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5"/>
                <w:szCs w:val="15"/>
              </w:rPr>
              <w:t xml:space="preserve">設計決策 · 可設定</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理由</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預設清單之用途為使特定管理帳號於目錄整合模式下仍能以帳密登入;直接移除預設將使該等帳號立即無法登入,違反「不影響現有使用」。</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補償控制</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已支援以環境設定覆蓋預設值。</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再評估條件</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正式環境改以環境設定管理白名單。</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位置</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組態模組</w:t>
            </w:r>
          </w:p>
        </w:tc>
      </w:tr>
    </w:tbl>
    <w:p>
      <w:pPr>
        <w:spacing w:after="130"/>
      </w:pP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100"/>
        <w:gridCol w:w="100"/>
        <w:gridCol w:w="100"/>
        <w:gridCol w:w="100"/>
      </w:tblGrid>
      <w:tr>
        <w:tc>
          <w:tcPr>
            <w:tcW w:type="pct" w:w="12%"/>
            <w:shd w:fill="1F3864"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L-05</w:t>
            </w:r>
          </w:p>
        </w:tc>
        <w:tc>
          <w:tcPr>
            <w:tcW w:type="pct" w:w="56%"/>
            <w:tcMar>
              <w:top w:type="dxa" w:w="60"/>
              <w:left w:type="dxa" w:w="95"/>
              <w:bottom w:type="dxa" w:w="60"/>
              <w:right w:type="dxa" w:w="95"/>
            </w:tcMar>
            <w:vAlign w:val="center"/>
          </w:tcPr>
          <w:p>
            <w:pPr>
              <w:spacing w:after="0"/>
            </w:pPr>
            <w:r>
              <w:rPr>
                <w:rFonts w:ascii="Noto Sans TC" w:cs="Noto Sans TC" w:eastAsia="Noto Sans TC" w:hAnsi="Noto Sans TC"/>
                <w:b/>
                <w:bCs/>
                <w:color w:val="222222"/>
                <w:sz w:val="18"/>
                <w:szCs w:val="18"/>
              </w:rPr>
              <w:t xml:space="preserve">安全事件之輸入留存</w:t>
            </w:r>
          </w:p>
        </w:tc>
        <w:tc>
          <w:tcPr>
            <w:tcW w:type="pct" w:w="14%"/>
            <w:shd w:fill="3498DB"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6"/>
                <w:szCs w:val="16"/>
              </w:rPr>
              <w:t xml:space="preserve">低 Low</w:t>
            </w:r>
          </w:p>
        </w:tc>
        <w:tc>
          <w:tcPr>
            <w:tcW w:type="pct" w:w="18%"/>
            <w:shd w:fill="7F8C8D"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FFFFFF"/>
                <w:sz w:val="15"/>
                <w:szCs w:val="15"/>
              </w:rPr>
              <w:t xml:space="preserve">營運政策項</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理由</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屬資料保存政策(期限與清除)議題而非程式缺陷;留存欄位已截斷以限制曝險。</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補償控制</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欄位截斷儲存。</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再評估條件</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訂定資料保存與清除政策時。</w:t>
            </w:r>
          </w:p>
        </w:tc>
      </w:tr>
      <w:tr>
        <w:tc>
          <w:tcPr>
            <w:tcW w:type="pct" w:w="16%"/>
            <w:shd w:fill="EEF2F8"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1F3864"/>
                <w:sz w:val="17"/>
                <w:szCs w:val="17"/>
              </w:rPr>
              <w:t xml:space="preserve">位置</w:t>
            </w:r>
          </w:p>
        </w:tc>
        <w:tc>
          <w:tcPr>
            <w:gridSpan w:val="2"/>
            <w:tcMar>
              <w:top w:type="dxa" w:w="60"/>
              <w:left w:type="dxa" w:w="95"/>
              <w:bottom w:type="dxa" w:w="60"/>
              <w:right w:type="dxa" w:w="95"/>
            </w:tcMar>
          </w:tcPr>
          <w:p>
            <w:pPr>
              <w:spacing w:after="0"/>
            </w:pPr>
            <w:r>
              <w:rPr>
                <w:rFonts w:ascii="Noto Sans TC" w:cs="Noto Sans TC" w:eastAsia="Noto Sans TC" w:hAnsi="Noto Sans TC"/>
                <w:color w:val="222222"/>
                <w:sz w:val="18"/>
                <w:szCs w:val="18"/>
              </w:rPr>
              <w:t xml:space="preserve">安全事件記錄</w:t>
            </w:r>
          </w:p>
        </w:tc>
      </w:tr>
    </w:tbl>
    <w:p>
      <w:pPr>
        <w:spacing w:after="130"/>
      </w:pPr>
    </w:p>
    <w:p>
      <w:r>
        <w:br w:type="page"/>
      </w:r>
    </w:p>
    <w:p>
      <w:pPr>
        <w:pStyle w:val="Heading1"/>
        <w:spacing w:after="130" w:before="260"/>
      </w:pPr>
      <w:r>
        <w:rPr>
          <w:rFonts w:ascii="Noto Sans TC" w:cs="Noto Sans TC" w:eastAsia="Noto Sans TC" w:hAnsi="Noto Sans TC"/>
          <w:b/>
          <w:bCs/>
          <w:color w:val="1F3864"/>
        </w:rPr>
        <w:t xml:space="preserve">8. 既有安全控制 Verified Strengths</w:t>
      </w:r>
    </w:p>
    <w:p>
      <w:pPr>
        <w:pStyle w:val="Heading2"/>
        <w:spacing w:after="130" w:before="260"/>
      </w:pPr>
      <w:r>
        <w:rPr>
          <w:rFonts w:ascii="Noto Sans TC" w:cs="Noto Sans TC" w:eastAsia="Noto Sans TC" w:hAnsi="Noto Sans TC"/>
          <w:b/>
          <w:bCs/>
          <w:color w:val="2E5496"/>
        </w:rPr>
        <w:t xml:space="preserve">資料隔離與隱私</w:t>
      </w:r>
    </w:p>
    <w:p>
      <w:pPr>
        <w:pStyle w:val="ListParagraph"/>
        <w:numPr>
          <w:ilvl w:val="0"/>
          <w:numId w:val="1"/>
        </w:numPr>
        <w:spacing w:after="70" w:line="268"/>
      </w:pPr>
      <w:r>
        <w:rPr>
          <w:rFonts w:ascii="Noto Sans TC" w:cs="Noto Sans TC" w:eastAsia="Noto Sans TC" w:hAnsi="Noto Sans TC"/>
        </w:rPr>
        <w:t xml:space="preserve">所有將使用者資料注入 AI 提示之位置皆以帳號範圍化;所有路由於使用資源前驗證歸屬;逐點檢視未發現任何 active 跨帳號漏洞。</w:t>
      </w:r>
    </w:p>
    <w:p>
      <w:pPr>
        <w:pStyle w:val="ListParagraph"/>
        <w:numPr>
          <w:ilvl w:val="0"/>
          <w:numId w:val="1"/>
        </w:numPr>
        <w:spacing w:after="70" w:line="268"/>
      </w:pPr>
      <w:r>
        <w:rPr>
          <w:rFonts w:ascii="Noto Sans TC" w:cs="Noto Sans TC" w:eastAsia="Noto Sans TC" w:hAnsi="Noto Sans TC"/>
        </w:rPr>
        <w:t xml:space="preserve">生成內容於每使用者、每對話獨立之隔離環境中處理。</w:t>
      </w:r>
    </w:p>
    <w:p>
      <w:pPr>
        <w:pStyle w:val="Heading2"/>
        <w:spacing w:after="130" w:before="260"/>
      </w:pPr>
      <w:r>
        <w:rPr>
          <w:rFonts w:ascii="Noto Sans TC" w:cs="Noto Sans TC" w:eastAsia="Noto Sans TC" w:hAnsi="Noto Sans TC"/>
          <w:b/>
          <w:bCs/>
          <w:color w:val="2E5496"/>
        </w:rPr>
        <w:t xml:space="preserve">身分與存取</w:t>
      </w:r>
    </w:p>
    <w:p>
      <w:pPr>
        <w:pStyle w:val="ListParagraph"/>
        <w:numPr>
          <w:ilvl w:val="0"/>
          <w:numId w:val="1"/>
        </w:numPr>
        <w:spacing w:after="70" w:line="268"/>
      </w:pPr>
      <w:r>
        <w:rPr>
          <w:rFonts w:ascii="Noto Sans TC" w:cs="Noto Sans TC" w:eastAsia="Noto Sans TC" w:hAnsi="Noto Sans TC"/>
        </w:rPr>
        <w:t xml:space="preserve">密碼採高成本因子之加密雜湊;登入具來源端(時間窗)與帳號層級(失敗鎖定)雙重防護;密碼重設權杖為加密級、短時效、一次性且無帳號列舉。</w:t>
      </w:r>
    </w:p>
    <w:p>
      <w:pPr>
        <w:pStyle w:val="ListParagraph"/>
        <w:numPr>
          <w:ilvl w:val="0"/>
          <w:numId w:val="1"/>
        </w:numPr>
        <w:spacing w:after="70" w:line="268"/>
      </w:pPr>
      <w:r>
        <w:rPr>
          <w:rFonts w:ascii="Noto Sans TC" w:cs="Noto Sans TC" w:eastAsia="Noto Sans TC" w:hAnsi="Noto Sans TC"/>
        </w:rPr>
        <w:t xml:space="preserve">管理介面整層把關且每次請求自資料層重新讀取角色,權限變更即時生效;唯讀角色採 deny-by-default。</w:t>
      </w:r>
    </w:p>
    <w:p>
      <w:pPr>
        <w:pStyle w:val="Heading2"/>
        <w:spacing w:after="130" w:before="260"/>
      </w:pPr>
      <w:r>
        <w:rPr>
          <w:rFonts w:ascii="Noto Sans TC" w:cs="Noto Sans TC" w:eastAsia="Noto Sans TC" w:hAnsi="Noto Sans TC"/>
          <w:b/>
          <w:bCs/>
          <w:color w:val="2E5496"/>
        </w:rPr>
        <w:t xml:space="preserve">資料與輸入</w:t>
      </w:r>
    </w:p>
    <w:p>
      <w:pPr>
        <w:pStyle w:val="ListParagraph"/>
        <w:numPr>
          <w:ilvl w:val="0"/>
          <w:numId w:val="1"/>
        </w:numPr>
        <w:spacing w:after="70" w:line="268"/>
      </w:pPr>
      <w:r>
        <w:rPr>
          <w:rFonts w:ascii="Noto Sans TC" w:cs="Noto Sans TC" w:eastAsia="Noto Sans TC" w:hAnsi="Noto Sans TC"/>
        </w:rPr>
        <w:t xml:space="preserve">資料庫查詢全面參數化;動態排序/條件以白名單或綁定參數處理。</w:t>
      </w:r>
    </w:p>
    <w:p>
      <w:pPr>
        <w:pStyle w:val="ListParagraph"/>
        <w:numPr>
          <w:ilvl w:val="0"/>
          <w:numId w:val="1"/>
        </w:numPr>
        <w:spacing w:after="70" w:line="268"/>
      </w:pPr>
      <w:r>
        <w:rPr>
          <w:rFonts w:ascii="Noto Sans TC" w:cs="Noto Sans TC" w:eastAsia="Noto Sans TC" w:hAnsi="Noto Sans TC"/>
        </w:rPr>
        <w:t xml:space="preserve">檔案下載經雙重路徑驗證且帳號範圍化;上傳檔案經多層掃描並以隨機檔名儲存、不可執行。</w:t>
      </w:r>
    </w:p>
    <w:p>
      <w:pPr>
        <w:pStyle w:val="Heading2"/>
        <w:spacing w:after="130" w:before="260"/>
      </w:pPr>
      <w:r>
        <w:rPr>
          <w:rFonts w:ascii="Noto Sans TC" w:cs="Noto Sans TC" w:eastAsia="Noto Sans TC" w:hAnsi="Noto Sans TC"/>
          <w:b/>
          <w:bCs/>
          <w:color w:val="2E5496"/>
        </w:rPr>
        <w:t xml:space="preserve">執行與平台</w:t>
      </w:r>
    </w:p>
    <w:p>
      <w:pPr>
        <w:pStyle w:val="ListParagraph"/>
        <w:numPr>
          <w:ilvl w:val="0"/>
          <w:numId w:val="1"/>
        </w:numPr>
        <w:spacing w:after="70" w:line="268"/>
      </w:pPr>
      <w:r>
        <w:rPr>
          <w:rFonts w:ascii="Noto Sans TC" w:cs="Noto Sans TC" w:eastAsia="Noto Sans TC" w:hAnsi="Noto Sans TC"/>
        </w:rPr>
        <w:t xml:space="preserve">AI 與郵件子程序均以非 shell 方式啟動並由標準輸入傳遞,憑證經環境而非命令列傳遞。</w:t>
      </w:r>
    </w:p>
    <w:p>
      <w:pPr>
        <w:pStyle w:val="ListParagraph"/>
        <w:numPr>
          <w:ilvl w:val="0"/>
          <w:numId w:val="1"/>
        </w:numPr>
        <w:spacing w:after="70" w:line="268"/>
      </w:pPr>
      <w:r>
        <w:rPr>
          <w:rFonts w:ascii="Noto Sans TC" w:cs="Noto Sans TC" w:eastAsia="Noto Sans TC" w:hAnsi="Noto Sans TC"/>
        </w:rPr>
        <w:t xml:space="preserve">訊息平台 Webhook 採時間恆定之雜湊簽章驗證;無真實機密進入版本控制;相依套件為現行安全主版。</w:t>
      </w:r>
    </w:p>
    <w:p>
      <w:pPr>
        <w:pStyle w:val="Heading1"/>
        <w:spacing w:after="130" w:before="260"/>
      </w:pPr>
      <w:r>
        <w:rPr>
          <w:rFonts w:ascii="Noto Sans TC" w:cs="Noto Sans TC" w:eastAsia="Noto Sans TC" w:hAnsi="Noto Sans TC"/>
          <w:b/>
          <w:bCs/>
          <w:color w:val="1F3864"/>
        </w:rPr>
        <w:t xml:space="preserve">9. AI 安全架構 AI Security Architecture</w:t>
      </w:r>
    </w:p>
    <w:p>
      <w:pPr>
        <w:spacing w:after="120"/>
      </w:pPr>
      <w:r>
        <w:rPr>
          <w:rFonts w:ascii="Noto Sans TC" w:cs="Noto Sans TC" w:eastAsia="Noto Sans TC" w:hAnsi="Noto Sans TC"/>
        </w:rPr>
        <w:t xml:space="preserve">本服務之 AI 處理採多代理協作模式,各代理於每使用者、每對話之獨立沙盒中執行。使用者輸入抵達 AI 前之防護鏈如下:</w:t>
      </w:r>
    </w:p>
    <w:p>
      <w:pPr>
        <w:pStyle w:val="ListParagraph"/>
        <w:numPr>
          <w:ilvl w:val="0"/>
          <w:numId w:val="1"/>
        </w:numPr>
        <w:spacing w:after="70" w:line="268"/>
      </w:pPr>
      <w:r>
        <w:rPr>
          <w:rFonts w:ascii="Noto Sans TC" w:cs="Noto Sans TC" w:eastAsia="Noto Sans TC" w:hAnsi="Noto Sans TC"/>
        </w:rPr>
        <w:t xml:space="preserve">第 0 層 — 認證、授權與用量控制。</w:t>
      </w:r>
    </w:p>
    <w:p>
      <w:pPr>
        <w:pStyle w:val="ListParagraph"/>
        <w:numPr>
          <w:ilvl w:val="0"/>
          <w:numId w:val="1"/>
        </w:numPr>
        <w:spacing w:after="70" w:line="268"/>
      </w:pPr>
      <w:r>
        <w:rPr>
          <w:rFonts w:ascii="Noto Sans TC" w:cs="Noto Sans TC" w:eastAsia="Noto Sans TC" w:hAnsi="Noto Sans TC"/>
        </w:rPr>
        <w:t xml:space="preserve">第 1 層 — 提示注入偵測(語法層之操弄偵測)。</w:t>
      </w:r>
    </w:p>
    <w:p>
      <w:pPr>
        <w:pStyle w:val="ListParagraph"/>
        <w:numPr>
          <w:ilvl w:val="0"/>
          <w:numId w:val="1"/>
        </w:numPr>
        <w:spacing w:after="70" w:line="268"/>
      </w:pPr>
      <w:r>
        <w:rPr>
          <w:rFonts w:ascii="Noto Sans TC" w:cs="Noto Sans TC" w:eastAsia="Noto Sans TC" w:hAnsi="Noto Sans TC"/>
        </w:rPr>
        <w:t xml:space="preserve">第 2 層 — 內容安全審查(本次全系統化:六類惡意意圖之本地規則 + 語意分類)。</w:t>
      </w:r>
    </w:p>
    <w:p>
      <w:pPr>
        <w:pStyle w:val="ListParagraph"/>
        <w:numPr>
          <w:ilvl w:val="0"/>
          <w:numId w:val="1"/>
        </w:numPr>
        <w:spacing w:after="70" w:line="268"/>
      </w:pPr>
      <w:r>
        <w:rPr>
          <w:rFonts w:ascii="Noto Sans TC" w:cs="Noto Sans TC" w:eastAsia="Noto Sans TC" w:hAnsi="Noto Sans TC"/>
        </w:rPr>
        <w:t xml:space="preserve">第 3 層 — AI 指令層守則:身分與機密守則(嚴禁揭露內部架構、設定與系統知識)+ 協作角色守則。</w:t>
      </w:r>
    </w:p>
    <w:p>
      <w:pPr>
        <w:pStyle w:val="ListParagraph"/>
        <w:numPr>
          <w:ilvl w:val="0"/>
          <w:numId w:val="1"/>
        </w:numPr>
        <w:spacing w:after="70" w:line="268"/>
      </w:pPr>
      <w:r>
        <w:rPr>
          <w:rFonts w:ascii="Noto Sans TC" w:cs="Noto Sans TC" w:eastAsia="Noto Sans TC" w:hAnsi="Noto Sans TC"/>
        </w:rPr>
        <w:t xml:space="preserve">第 4 層 — 工具與沙盒限制:分派代理無工具;工作代理採最小工具集並封鎖危險指令;工作目錄受限。</w:t>
      </w:r>
    </w:p>
    <w:p>
      <w:pPr>
        <w:pStyle w:val="ListParagraph"/>
        <w:numPr>
          <w:ilvl w:val="0"/>
          <w:numId w:val="1"/>
        </w:numPr>
        <w:spacing w:after="70" w:line="268"/>
      </w:pPr>
      <w:r>
        <w:rPr>
          <w:rFonts w:ascii="Noto Sans TC" w:cs="Noto Sans TC" w:eastAsia="Noto Sans TC" w:hAnsi="Noto Sans TC"/>
        </w:rPr>
        <w:t xml:space="preserve">第 5 層 — 隔離邊界:沙盒邊界阻止向上載入專案層級設定;協作成員代理無檔案工具。</w:t>
      </w:r>
    </w:p>
    <w:p>
      <w:pPr>
        <w:pStyle w:val="Heading1"/>
        <w:spacing w:after="130" w:before="260"/>
      </w:pPr>
      <w:r>
        <w:rPr>
          <w:rFonts w:ascii="Noto Sans TC" w:cs="Noto Sans TC" w:eastAsia="Noto Sans TC" w:hAnsi="Noto Sans TC"/>
          <w:b/>
          <w:bCs/>
          <w:color w:val="1F3864"/>
        </w:rPr>
        <w:t xml:space="preserve">10. 後續強化路線圖 Roadmap</w:t>
      </w: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100"/>
        <w:gridCol w:w="100"/>
      </w:tblGrid>
      <w:tr>
        <w:tc>
          <w:tcPr>
            <w:tcW w:type="pct" w:w="14%"/>
            <w:shd w:fill="1F3864"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FFFFFF"/>
                <w:sz w:val="18"/>
                <w:szCs w:val="18"/>
              </w:rPr>
              <w:t xml:space="preserve">優先序</w:t>
            </w:r>
          </w:p>
        </w:tc>
        <w:tc>
          <w:tcPr>
            <w:shd w:fill="1F3864" w:color="auto" w:val="clear"/>
            <w:tcMar>
              <w:top w:type="dxa" w:w="60"/>
              <w:left w:type="dxa" w:w="95"/>
              <w:bottom w:type="dxa" w:w="60"/>
              <w:right w:type="dxa" w:w="95"/>
            </w:tcMar>
            <w:vAlign w:val="center"/>
          </w:tcPr>
          <w:p>
            <w:pPr>
              <w:spacing w:after="0"/>
            </w:pPr>
            <w:r>
              <w:rPr>
                <w:rFonts w:ascii="Noto Sans TC" w:cs="Noto Sans TC" w:eastAsia="Noto Sans TC" w:hAnsi="Noto Sans TC"/>
                <w:b/>
                <w:bCs/>
                <w:color w:val="FFFFFF"/>
                <w:sz w:val="18"/>
                <w:szCs w:val="18"/>
              </w:rPr>
              <w:t xml:space="preserve">行動項目</w:t>
            </w:r>
          </w:p>
        </w:tc>
      </w:tr>
      <w:tr>
        <w:tc>
          <w:tcPr>
            <w:shd w:fill="EEF2F8"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1F3864"/>
                <w:sz w:val="18"/>
                <w:szCs w:val="18"/>
              </w:rPr>
              <w:t xml:space="preserve">P1</w:t>
            </w:r>
          </w:p>
        </w:tc>
        <w:tc>
          <w:tcPr>
            <w:tcMar>
              <w:top w:type="dxa" w:w="60"/>
              <w:left w:type="dxa" w:w="95"/>
              <w:bottom w:type="dxa" w:w="60"/>
              <w:right w:type="dxa" w:w="95"/>
            </w:tcMar>
            <w:vAlign w:val="center"/>
          </w:tcPr>
          <w:p>
            <w:pPr>
              <w:spacing w:after="0"/>
            </w:pPr>
            <w:r>
              <w:rPr>
                <w:rFonts w:ascii="Noto Sans TC" w:cs="Noto Sans TC" w:eastAsia="Noto Sans TC" w:hAnsi="Noto Sans TC"/>
                <w:color w:val="222222"/>
                <w:sz w:val="18"/>
                <w:szCs w:val="18"/>
              </w:rPr>
              <w:t xml:space="preserve">工作階段加固:認證權杖改伺服器端 Cookie + 跨站請求偽造防護,並導入權杖撤銷機制。</w:t>
            </w:r>
          </w:p>
        </w:tc>
      </w:tr>
      <w:tr>
        <w:tc>
          <w:tcPr>
            <w:shd w:fill="EEF2F8"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1F3864"/>
                <w:sz w:val="18"/>
                <w:szCs w:val="18"/>
              </w:rPr>
              <w:t xml:space="preserve">P1</w:t>
            </w:r>
          </w:p>
        </w:tc>
        <w:tc>
          <w:tcPr>
            <w:tcMar>
              <w:top w:type="dxa" w:w="60"/>
              <w:left w:type="dxa" w:w="95"/>
              <w:bottom w:type="dxa" w:w="60"/>
              <w:right w:type="dxa" w:w="95"/>
            </w:tcMar>
            <w:vAlign w:val="center"/>
          </w:tcPr>
          <w:p>
            <w:pPr>
              <w:spacing w:after="0"/>
            </w:pPr>
            <w:r>
              <w:rPr>
                <w:rFonts w:ascii="Noto Sans TC" w:cs="Noto Sans TC" w:eastAsia="Noto Sans TC" w:hAnsi="Noto Sans TC"/>
                <w:color w:val="222222"/>
                <w:sz w:val="18"/>
                <w:szCs w:val="18"/>
              </w:rPr>
              <w:t xml:space="preserve">速率限制:擴展為多實例時改用共享式儲存,並依部署設定代理信任。</w:t>
            </w:r>
          </w:p>
        </w:tc>
      </w:tr>
      <w:tr>
        <w:tc>
          <w:tcPr>
            <w:shd w:fill="EEF2F8"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1F3864"/>
                <w:sz w:val="18"/>
                <w:szCs w:val="18"/>
              </w:rPr>
              <w:t xml:space="preserve">P2</w:t>
            </w:r>
          </w:p>
        </w:tc>
        <w:tc>
          <w:tcPr>
            <w:tcMar>
              <w:top w:type="dxa" w:w="60"/>
              <w:left w:type="dxa" w:w="95"/>
              <w:bottom w:type="dxa" w:w="60"/>
              <w:right w:type="dxa" w:w="95"/>
            </w:tcMar>
            <w:vAlign w:val="center"/>
          </w:tcPr>
          <w:p>
            <w:pPr>
              <w:spacing w:after="0"/>
            </w:pPr>
            <w:r>
              <w:rPr>
                <w:rFonts w:ascii="Noto Sans TC" w:cs="Noto Sans TC" w:eastAsia="Noto Sans TC" w:hAnsi="Noto Sans TC"/>
                <w:color w:val="222222"/>
                <w:sz w:val="18"/>
                <w:szCs w:val="18"/>
              </w:rPr>
              <w:t xml:space="preserve">AI 檔案隔離(若決定提升):調整工作目錄位置或採作業系統層級沙盒。</w:t>
            </w:r>
          </w:p>
        </w:tc>
      </w:tr>
      <w:tr>
        <w:tc>
          <w:tcPr>
            <w:shd w:fill="EEF2F8" w:color="auto" w:val="clear"/>
            <w:tcMar>
              <w:top w:type="dxa" w:w="60"/>
              <w:left w:type="dxa" w:w="95"/>
              <w:bottom w:type="dxa" w:w="60"/>
              <w:right w:type="dxa" w:w="95"/>
            </w:tcMar>
            <w:vAlign w:val="center"/>
          </w:tcPr>
          <w:p>
            <w:pPr>
              <w:spacing w:after="0"/>
              <w:jc w:val="center"/>
            </w:pPr>
            <w:r>
              <w:rPr>
                <w:rFonts w:ascii="Noto Sans TC" w:cs="Noto Sans TC" w:eastAsia="Noto Sans TC" w:hAnsi="Noto Sans TC"/>
                <w:b/>
                <w:bCs/>
                <w:color w:val="1F3864"/>
                <w:sz w:val="18"/>
                <w:szCs w:val="18"/>
              </w:rPr>
              <w:t xml:space="preserve">P3</w:t>
            </w:r>
          </w:p>
        </w:tc>
        <w:tc>
          <w:tcPr>
            <w:tcMar>
              <w:top w:type="dxa" w:w="60"/>
              <w:left w:type="dxa" w:w="95"/>
              <w:bottom w:type="dxa" w:w="60"/>
              <w:right w:type="dxa" w:w="95"/>
            </w:tcMar>
            <w:vAlign w:val="center"/>
          </w:tcPr>
          <w:p>
            <w:pPr>
              <w:spacing w:after="0"/>
            </w:pPr>
            <w:r>
              <w:rPr>
                <w:rFonts w:ascii="Noto Sans TC" w:cs="Noto Sans TC" w:eastAsia="Noto Sans TC" w:hAnsi="Noto Sans TC"/>
                <w:color w:val="222222"/>
                <w:sz w:val="18"/>
                <w:szCs w:val="18"/>
              </w:rPr>
              <w:t xml:space="preserve">組態治理:登入白名單改由環境設定管理;安全事件訂定保存與清除政策。</w:t>
            </w:r>
          </w:p>
        </w:tc>
      </w:tr>
    </w:tbl>
    <w:p>
      <w:pPr>
        <w:pStyle w:val="Heading1"/>
        <w:spacing w:after="130" w:before="260"/>
      </w:pPr>
      <w:r>
        <w:rPr>
          <w:rFonts w:ascii="Noto Sans TC" w:cs="Noto Sans TC" w:eastAsia="Noto Sans TC" w:hAnsi="Noto Sans TC"/>
          <w:b/>
          <w:bCs/>
          <w:color w:val="1F3864"/>
        </w:rPr>
        <w:t xml:space="preserve">附錄 A. 附註與限制 Notes &amp; Limitations</w:t>
      </w:r>
    </w:p>
    <w:p>
      <w:pPr>
        <w:pStyle w:val="ListParagraph"/>
        <w:numPr>
          <w:ilvl w:val="0"/>
          <w:numId w:val="1"/>
        </w:numPr>
        <w:spacing w:after="70" w:line="268"/>
      </w:pPr>
      <w:r>
        <w:rPr>
          <w:rFonts w:ascii="Noto Sans TC" w:cs="Noto Sans TC" w:eastAsia="Noto Sans TC" w:hAnsi="Noto Sans TC"/>
        </w:rPr>
        <w:t xml:space="preserve">本報告為原始碼層級白箱審查;未進行動態滲透測試或正式環境實機組態審查。</w:t>
      </w:r>
    </w:p>
    <w:p>
      <w:pPr>
        <w:pStyle w:val="ListParagraph"/>
        <w:numPr>
          <w:ilvl w:val="0"/>
          <w:numId w:val="1"/>
        </w:numPr>
        <w:spacing w:after="70" w:line="268"/>
      </w:pPr>
      <w:r>
        <w:rPr>
          <w:rFonts w:ascii="Noto Sans TC" w:cs="Noto Sans TC" w:eastAsia="Noto Sans TC" w:hAnsi="Noto Sans TC"/>
        </w:rPr>
        <w:t xml:space="preserve">本次所有修補均通過 TypeScript 型別檢查,並於開發環境驗證啟動、模組載入與關鍵功能(含上傳防護無誤判)正常;建議於 staging 進行完整回歸驗證。</w:t>
      </w:r>
    </w:p>
    <w:p>
      <w:pPr>
        <w:pStyle w:val="ListParagraph"/>
        <w:numPr>
          <w:ilvl w:val="0"/>
          <w:numId w:val="1"/>
        </w:numPr>
        <w:spacing w:after="70" w:line="268"/>
      </w:pPr>
      <w:r>
        <w:rPr>
          <w:rFonts w:ascii="Noto Sans TC" w:cs="Noto Sans TC" w:eastAsia="Noto Sans TC" w:hAnsi="Noto Sans TC"/>
        </w:rPr>
        <w:t xml:space="preserve">部分項目之最終狀態取決於部署期環境設定;請於正式環境正確配置關鍵密鑰、執行環境、代理信任、來源白名單與資料庫憑證。</w:t>
      </w:r>
    </w:p>
    <w:p>
      <w:pPr>
        <w:pStyle w:val="ListParagraph"/>
        <w:numPr>
          <w:ilvl w:val="0"/>
          <w:numId w:val="1"/>
        </w:numPr>
        <w:spacing w:after="70" w:line="268"/>
      </w:pPr>
      <w:r>
        <w:rPr>
          <w:rFonts w:ascii="Noto Sans TC" w:cs="Noto Sans TC" w:eastAsia="Noto Sans TC" w:hAnsi="Noto Sans TC"/>
        </w:rPr>
        <w:t xml:space="preserve">本文件為內部技術文件,屬機密;對外溝通請使用「客戶版資安保證摘要」。</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TC" w:cs="Noto Sans TC" w:eastAsia="Noto Sans TC" w:hAnsi="Noto Sans TC"/>
        <w:color w:val="666666"/>
        <w:sz w:val="16"/>
        <w:szCs w:val="16"/>
      </w:rPr>
      <w:t xml:space="preserve">第 </w:t>
    </w:r>
    <w:r>
      <w:rPr>
        <w:rFonts w:ascii="Noto Sans TC" w:cs="Noto Sans TC" w:eastAsia="Noto Sans TC" w:hAnsi="Noto Sans TC"/>
        <w:color w:val="666666"/>
        <w:sz w:val="16"/>
        <w:szCs w:val="16"/>
      </w:rPr>
      <w:fldChar w:fldCharType="begin"/>
      <w:instrText xml:space="preserve">PAGE</w:instrText>
      <w:fldChar w:fldCharType="separate"/>
      <w:fldChar w:fldCharType="end"/>
    </w:r>
    <w:r>
      <w:rPr>
        <w:rFonts w:ascii="Noto Sans TC" w:cs="Noto Sans TC" w:eastAsia="Noto Sans TC" w:hAnsi="Noto Sans TC"/>
        <w:color w:val="666666"/>
        <w:sz w:val="16"/>
        <w:szCs w:val="16"/>
      </w:rPr>
      <w:t xml:space="preserve"> 頁,共 </w:t>
    </w:r>
    <w:r>
      <w:rPr>
        <w:rFonts w:ascii="Noto Sans TC" w:cs="Noto Sans TC" w:eastAsia="Noto Sans TC" w:hAnsi="Noto Sans TC"/>
        <w:color w:val="666666"/>
        <w:sz w:val="16"/>
        <w:szCs w:val="16"/>
      </w:rPr>
      <w:fldChar w:fldCharType="begin"/>
      <w:instrText xml:space="preserve">NUMPAGES</w:instrText>
      <w:fldChar w:fldCharType="separate"/>
      <w:fldChar w:fldCharType="end"/>
    </w:r>
    <w:r>
      <w:rPr>
        <w:rFonts w:ascii="Noto Sans TC" w:cs="Noto Sans TC" w:eastAsia="Noto Sans TC" w:hAnsi="Noto Sans TC"/>
        <w:color w:val="666666"/>
        <w:sz w:val="16"/>
        <w:szCs w:val="16"/>
      </w:rPr>
      <w:t xml:space="preserve"> 頁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2" w:sz="4" w:space="6"/>
      </w:pBdr>
      <w:jc w:val="right"/>
    </w:pPr>
    <w:r>
      <w:rPr>
        <w:rFonts w:ascii="Noto Sans TC" w:cs="Noto Sans TC" w:eastAsia="Noto Sans TC" w:hAnsi="Noto Sans TC"/>
        <w:color w:val="666666"/>
        <w:sz w:val="15"/>
        <w:szCs w:val="15"/>
      </w:rPr>
      <w:t xml:space="preserve">AI Agents Office — 資安評估報告 v1.3（完整技術版）· 機密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TC" w:cs="Noto Sans TC" w:eastAsia="Noto Sans TC" w:hAnsi="Noto Sans TC"/>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Agents Office 資訊安全評估報告 v1.3（完整技術版）</dc:title>
  <dc:creator>AI Agents Office Security Assessment</dc:creator>
  <cp:lastModifiedBy>Un-named</cp:lastModifiedBy>
  <cp:revision>1</cp:revision>
  <dcterms:created xsi:type="dcterms:W3CDTF">2026-06-11T07:13:12.592Z</dcterms:created>
  <dcterms:modified xsi:type="dcterms:W3CDTF">2026-06-11T07:13:12.593Z</dcterms:modified>
</cp:coreProperties>
</file>

<file path=docProps/custom.xml><?xml version="1.0" encoding="utf-8"?>
<Properties xmlns="http://schemas.openxmlformats.org/officeDocument/2006/custom-properties" xmlns:vt="http://schemas.openxmlformats.org/officeDocument/2006/docPropsVTypes"/>
</file>