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 w:lineRule="auto"/>
        <w:jc w:val="center"/>
      </w:pPr>
      <w:r>
        <w:rPr>
          <w:rFonts w:ascii="標楷體" w:cs="標楷體" w:eastAsia="標楷體" w:hAnsi="標楷體"/>
          <w:b/>
          <w:bCs/>
          <w:sz w:val="44"/>
          <w:szCs w:val="44"/>
        </w:rPr>
        <w:t xml:space="preserve">投資分析報告</w:t>
      </w:r>
    </w:p>
    <w:p>
      <w:pPr>
        <w:tabs>
          <w:tab w:val="left" w:pos="2600"/>
        </w:tabs>
        <w:spacing w:after="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發文機關：</w:t>
      </w:r>
      <w:r>
        <w:rPr>
          <w:rFonts w:ascii="標楷體" w:cs="標楷體" w:eastAsia="標楷體" w:hAnsi="標楷體"/>
          <w:sz w:val="32"/>
          <w:szCs w:val="32"/>
        </w:rPr>
        <w:t xml:space="preserve">	</w:t>
      </w: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【機關名稱，資料未提供】</w:t>
      </w:r>
    </w:p>
    <w:p>
      <w:pPr>
        <w:tabs>
          <w:tab w:val="left" w:pos="2600"/>
        </w:tabs>
        <w:spacing w:after="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發文日期：</w:t>
      </w:r>
      <w:r>
        <w:rPr>
          <w:rFonts w:ascii="標楷體" w:cs="標楷體" w:eastAsia="標楷體" w:hAnsi="標楷體"/>
          <w:sz w:val="32"/>
          <w:szCs w:val="32"/>
        </w:rPr>
        <w:t xml:space="preserve">	</w:t>
      </w: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中華民國 115 年 7 月 4 日</w:t>
      </w:r>
    </w:p>
    <w:p>
      <w:pPr>
        <w:tabs>
          <w:tab w:val="left" w:pos="2600"/>
        </w:tabs>
        <w:spacing w:after="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發文字號：</w:t>
      </w:r>
      <w:r>
        <w:rPr>
          <w:rFonts w:ascii="標楷體" w:cs="標楷體" w:eastAsia="標楷體" w:hAnsi="標楷體"/>
          <w:sz w:val="32"/>
          <w:szCs w:val="32"/>
        </w:rPr>
        <w:t xml:space="preserve">	</w:t>
      </w: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＿＿＿＿＿字第＿＿＿＿＿＿號</w:t>
      </w:r>
    </w:p>
    <w:p>
      <w:pPr>
        <w:tabs>
          <w:tab w:val="left" w:pos="2600"/>
        </w:tabs>
        <w:spacing w:after="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速　　別：</w:t>
      </w:r>
      <w:r>
        <w:rPr>
          <w:rFonts w:ascii="標楷體" w:cs="標楷體" w:eastAsia="標楷體" w:hAnsi="標楷體"/>
          <w:sz w:val="32"/>
          <w:szCs w:val="32"/>
        </w:rPr>
        <w:t xml:space="preserve">	</w:t>
      </w: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普通件</w:t>
      </w:r>
    </w:p>
    <w:p>
      <w:pPr>
        <w:tabs>
          <w:tab w:val="left" w:pos="2600"/>
        </w:tabs>
        <w:spacing w:after="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密等及解密條件：</w:t>
      </w:r>
      <w:r>
        <w:rPr>
          <w:rFonts w:ascii="標楷體" w:cs="標楷體" w:eastAsia="標楷體" w:hAnsi="標楷體"/>
          <w:sz w:val="32"/>
          <w:szCs w:val="32"/>
        </w:rPr>
        <w:t xml:space="preserve">	</w:t>
      </w: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普通</w:t>
      </w:r>
    </w:p>
    <w:p>
      <w:pPr>
        <w:tabs>
          <w:tab w:val="left" w:pos="2600"/>
        </w:tabs>
        <w:spacing w:after="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附　　件：</w:t>
      </w:r>
      <w:r>
        <w:rPr>
          <w:rFonts w:ascii="標楷體" w:cs="標楷體" w:eastAsia="標楷體" w:hAnsi="標楷體"/>
          <w:sz w:val="32"/>
          <w:szCs w:val="32"/>
        </w:rPr>
        <w:t xml:space="preserve">	</w:t>
      </w: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無</w:t>
      </w:r>
    </w:p>
    <w:p>
      <w:pPr>
        <w:pBdr>
          <w:bottom w:val="single" w:color="000000" w:sz="6" w:space="2"/>
        </w:pBdr>
        <w:spacing w:after="160" w:before="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/>
      </w:r>
    </w:p>
    <w:p>
      <w:pPr>
        <w:spacing w:after="200" w:before="0" w:line="360" w:lineRule="auto"/>
        <w:ind w:left="640" w:hanging="640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主旨：</w:t>
      </w: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強茂（2481，功率分離式元件廠，須與太陽能廠茂迪 6244 明確區分）產業成長題材確已兌現，惟現價已將 2026–2027 年樂觀情境幾乎全數反映。以查證時點（2026/07/04，7/2 收盤 213.5 元）計，本益比約 62 倍、殖利率不足 2%，高於研究機構共識目標價 131 元約六成，安全邊際近乎歸零；同期個股已由注意股升級為 6/26–7/9 處置（五分盤交易），外資高檔快速換手，短線籌碼風險已具體引爆。綜合研判為中性偏空：產業引擎為真，但現價追高之風險報酬比最差，未持有者不宜追高，持有者應嚴設移動停利。本報告為分析框架，非投資建議。請查照。</w:t>
      </w:r>
    </w:p>
    <w:p>
      <w:pPr>
        <w:spacing w:after="120" w:before="0" w:line="360" w:lineRule="auto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說明：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一、背景與目標：強茂近三個月股價自約 100 元翻倍至逾 210 元，市場焦點集中於其切入 AI 伺服器高壓電源與車用第三代半導體（碳化矽，SiC）之成長題材。本報告自產業趨勢、獲利動能、籌碼、估值與外部總體經濟五個維度，系統性評估現價之風險報酬結構。分析基準日為 2026/07/04，所引法人每股盈餘（EPS）、目標價與營收年增區間均屬研究機構預估（推論性質，非公司正式財測）。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二、產業趨勢——唯一之多方引擎，惟已屬「驗證題」：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（一）AI 伺服器高壓電源與車用 SiC 為本波估值重評之根本支撐，亦為唯一方向明確之多頭力量。AI 相關營收占比由 2025 年約 7% 提升至約 11%，成長最快者為金氧半場效電晶體（MOSFET）、蕭特基二極體與暫態電壓抑制器（TVS）。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（二）公司推動「55 計畫」，目標於 2030 年前將 MOSFET 營收拉升至 5 億美元，形成 AI 與車用雙引擎。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（三）惟此題材已屬市場共識，不再具增量驚喜。關鍵已由「故事好不好」轉為「數字能否兌現」，其中 SiC 車用出貨進度（第三季能否放量）為最重要之驗證點。產業趨勢形同全部倚賴單一支柱，一旦出貨遞延，缺乏第二成長引擎，亦無股息承接，跌勢將欠缺緩衝，集中度本身即為風險。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三、獲利動能——真成長，惟增速追不上股價：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（一）2026 年 5 月營收 12.69 億元，年增 13.66%、月減 2.16%；前五月累計營收年增已降至 +11.27%，跌破法人先前反映之「年增 15–20%」軌道下緣。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（二）2026 年第一季 EPS 僅 0.75 元，季減 20%、年增 4%；2025 全年 EPS 3.12 元。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（三）法人全年 EPS 預估落在 4.76–5 元（年增 40–60%），惟首季步調僅約年化 3 元，意味後三季須逐季跳增方能兌現。估值已反映「下半年放量」，此為壓力而非保證；獲利季減 20% 屬明確減速警訊，而非加速訊號。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四、籌碼與技術面——短線風險已具體引爆：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（一）個股於 2026/6/25 再度被列注意股（累計第 24 次），觸發近六日累積漲幅逾三成與單日週轉率 16.47% 等條款，屬典型投機爆量型態。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（二）隨後於 6/26–7/9 遭處置、改採五分盤交易，流動性折損、波動放大，一度單日重挫逾 5%。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（三）外資持股約 20.7%–21.1%，近期呈「高檔快速切換」進出型態。股價三個月翻倍、幾無套牢賣壓，此類噴出走勢一旦回檔往往又急又深；當前第一順位風險為籌碼獲利了結，而非基本面轉弱。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五、估值安全邊際——方向最明確之空方訊號：安全邊際近乎歸零，各項指標分列如次：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（一）本益比（近四季 EPS）約 62 倍，絕對值偏高，係賭未來高成長兌現。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（二）現價相對法人目標價 131 元溢價約 60%，樂觀情境幾乎全數反映。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（三）殖利率不足 2%（低於五年均約 3.47%），下跌時股息緩衝薄弱。另各方引用之殖利率區間略有出入（自不足 1% 至約 1.8% 不等），惟結論一致——下跌時股息承接力薄弱，無法提供有效防禦。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六、外部總體經濟——估值之隱形總開關已轉為逆風：強茂為長天期高本益比成長股，對利率、流動性與美元之敏感度遠高於一般傳產或高殖利率股，本波總經環境對其估值形成明確逆風，且此逆風並非「待觀察變數」，而係已成事實之估值前提崩解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（一）利率政策為最大逆風：美國聯準會（FED）於 6/17 連續第四次維持利率於 3.50%–3.75%，並於點陣圖撤回 2026 全年降息預期、延後至 2027–2028 年，年底利率中位數上修至 3.8%。折現率維持高檔，對「獲利在未來、估值先給」之標的殺傷最大。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（二）通膨與油價間接鎖死降息：伊朗衝突（2026 年 2 月爆發）推升油價，成為 FED 將 2026 整體通膨預估上修至 3.6% 之主因之一。地緣衝突對強茂並非避險利多，而係延長估值逆風之加壓器。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（三）美元與資金環境不利投機性成長股：強勢美元與美債殖利率走高，構成台股外資之淨流出壓力，最易促使外資對「三個月翻倍、殖利率偏低」之標的獲利了結。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（四）須平衡指出，總經並非全然逆風——AI 資本支出驅動之需求屬結構性長多，2026 年台股主軸明確落在 AI 伺服器、第三代半導體與電源管理，正是強茂之賽道。惟美中關稅與出口管制屬低機率、高衝擊之尾端風險。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七、五因子綜合研判：多空天平之支點已由「AI 故事是否吸引人」（已定價）轉移至「月營收年增能否重回 15%、SiC 第三季能否放量」（尚待驗證），而目前數字給出之答案為「還沒有」。偏空因子並非各自獨立，而係同一條引信之連鎖——總經收緊（強勢美元）→ 外資高檔出貨（籌碼）→ 戳破 60 倍估值。下行風險因而呈非線性之「戴維斯雙殺」結構：同一 AI 題材同時撐高 EPS 預期與本益比，任一鬆動，兩者將被同步下修。各因子方向與強弱（★數，5 為最強；估值／籌碼分數越低越偏空）分列如次：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（一）產業趨勢（AI／車用 SiC）：強力偏多（唯一引擎），★★★★☆；第一觀察點為 SiC 第三季出貨、AI 占比續升。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（二）獲利動能：中性轉弱，★★★☆☆；第一觀察點為月營收能否守住雙位數年增。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（三）籌碼／技術面：短線偏空（已引爆），★★☆☆☆；第一觀察點為外資是否連續賣超、融資增幅。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（四）外部總經：偏空（估值逆風），★★★★☆；第一觀察點為 7/30 FOMC、油價、外資流向。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（五）估值安全邊際：偏空（最大警訊），★☆☆☆☆；第一觀察點為本益比 60 倍以上、殖利率偏低。</w:t>
      </w:r>
    </w:p>
    <w:p>
      <w:pPr>
        <w:spacing w:after="120" w:before="80" w:line="360" w:lineRule="auto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辦法（建議事項）：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一、未持有者不宜追高：單日暴漲後追價之風險報酬比最差。三項解除條件缺一不可：（a）累計營收年增重回 15% 以上；（b）注意股／處置降溫；（c）SiC 第三季出貨進度明朗。三者未同時滿足前，宜保持觀望。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二、持有者嚴設移動停利：警戒區參考跳空缺口下緣 180–190 元，跌破且成交量放大即減碼。獲利豐厚者可分批落袋、保留基本部位參與長線題材，以兼顧風險控管與趨勢參與。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三、以清單化指標盯盤，任一亮燈即減碼：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（一）7/30 FOMC 若更趨鷹派 → 估值逆風坐實，可能先於營收數據反應。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（二）月營收年增跌破雙位數 → 戴維斯雙殺引信。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（三）外資連續賣超並伴隨融資快速增加 → 籌碼出貨確認。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（四）由處置股進一步惡化 → 流動性先於基本面惡化，為第一順位風險。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四、辨識真正之轉機訊號：在「降息敘事重啟」之前，強茂缺乏總體經濟層面之估值支撐；該訊號才是高估值重新獲得地基之時點。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五、後續步驟：可就下列三條主線擇一深入——（1）SiC 與 100V 產品出貨進度之敏感度情境試算；（2）外資與融資籌碼流向之細部拆解；（3）估值回歸法人目標價 131 元之下行空間量化評估。</w:t>
      </w:r>
    </w:p>
    <w:p>
      <w:pPr>
        <w:spacing w:after="100" w:line="360" w:lineRule="auto"/>
        <w:ind w:left="640" w:hanging="64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六、主要風險提示：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（一）流動性風險（急迫性最高）：處置狀態下五分盤交易將壓縮進出彈性，一旦惡化，衝擊將先於基本面反映於流動性。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（二）估值下修風險：安全邊際近乎歸零，任何獲利或營收不如預期，將觸發本益比與 EPS 之同步下修。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（三）集中度風險：成長全繫於單一產業引擎，SiC 出貨遞延將使跌勢缺乏第二支柱與股息緩衝。</w:t>
      </w:r>
    </w:p>
    <w:p>
      <w:pPr>
        <w:spacing w:after="100" w:line="360" w:lineRule="auto"/>
        <w:ind w:left="1600" w:hanging="960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（四）總經與地緣尾端風險：利率長期高檔、強勢美元及美中關稅升溫，均對此類長天期高本益比標的形成放大性下行壓力。</w:t>
      </w:r>
    </w:p>
    <w:p>
      <w:pPr>
        <w:pBdr>
          <w:top w:val="single" w:color="000000" w:sz="6" w:space="4"/>
        </w:pBdr>
        <w:spacing w:after="120" w:before="160" w:line="360" w:lineRule="auto"/>
      </w:pPr>
      <w:r>
        <w:rPr>
          <w:rFonts w:ascii="標楷體" w:cs="標楷體" w:eastAsia="標楷體" w:hAnsi="標楷體"/>
          <w:b w:val="false"/>
          <w:bCs w:val="false"/>
          <w:sz w:val="32"/>
          <w:szCs w:val="32"/>
        </w:rPr>
        <w:t xml:space="preserve">　</w:t>
      </w:r>
    </w:p>
    <w:p>
      <w:pPr>
        <w:spacing w:after="0" w:before="0" w:line="360" w:lineRule="auto"/>
      </w:pPr>
      <w:r>
        <w:rPr>
          <w:rFonts w:ascii="標楷體" w:cs="標楷體" w:eastAsia="標楷體" w:hAnsi="標楷體"/>
          <w:b w:val="false"/>
          <w:bCs w:val="false"/>
          <w:sz w:val="26"/>
          <w:szCs w:val="26"/>
        </w:rPr>
        <w:t xml:space="preserve">附註：本報告為分析整合框架，非投資建議；短線波動劇烈，所有數據以查證時點（2026/07/04）為準，法人預估數字屬推論性質，非公司正式財測。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標楷體" w:cs="標楷體" w:eastAsia="標楷體" w:hAnsi="標楷體"/>
        <w:sz w:val="22"/>
        <w:szCs w:val="22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jc w:val="center"/>
    </w:pPr>
    <w:r>
      <w:rPr>
        <w:rFonts w:ascii="標楷體" w:cs="標楷體" w:eastAsia="標楷體" w:hAnsi="標楷體"/>
        <w:b w:val="false"/>
        <w:bCs w:val="false"/>
        <w:sz w:val="22"/>
        <w:szCs w:val="22"/>
      </w:rPr>
      <w:t xml:space="preserve">【機關名稱】　強茂（2481）投資分析報告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強茂（2481）投資分析報告</dc:title>
  <dc:creator>AI Agents Office</dc:creator>
  <cp:lastModifiedBy>Un-named</cp:lastModifiedBy>
  <cp:revision>1</cp:revision>
  <dcterms:created xsi:type="dcterms:W3CDTF">2026-07-04T07:20:20.034Z</dcterms:created>
  <dcterms:modified xsi:type="dcterms:W3CDTF">2026-07-04T07:20:20.035Z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