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Budget — Documentation</w:t>
      </w:r>
    </w:p>
    <w:p>
      <w:pPr>
        <w:pStyle w:val="Subtitle"/>
      </w:pPr>
      <w:r>
        <w:t xml:space="preserve">TP de groupe React Native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IPSSI Paris — Mastère Dev, Data &amp; IA (Bac+4)</w:t>
      </w:r>
      <w:r>
        <w:t xml:space="preserve"> </w:t>
      </w:r>
      <w:r>
        <w:t xml:space="preserve">Promo MIA4 27.2 — Formation des 27–29 juillet 2026</w:t>
      </w:r>
    </w:p>
    <w:p>
      <w:pPr>
        <w:pStyle w:val="BodyText"/>
      </w:pPr>
      <w:r>
        <w:t xml:space="preserve">Application mobile de suivi des dépenses du mois, réalisée en React Native</w:t>
      </w:r>
      <w:r>
        <w:t xml:space="preserve"> </w:t>
      </w:r>
      <w:r>
        <w:t xml:space="preserve">(Expo SDK 54) avec une base Supabase.</w:t>
      </w:r>
    </w:p>
    <w:p>
      <w:r>
        <w:pict>
          <v:rect style="width:0;height:1.5pt" o:hralign="center" o:hrstd="t" o:hr="t"/>
        </w:pict>
      </w:r>
    </w:p>
    <w:bookmarkStart w:id="9" w:name="accès-rapide"/>
    <w:p>
      <w:pPr>
        <w:pStyle w:val="Heading1"/>
      </w:pPr>
      <w:r>
        <w:t xml:space="preserve">1. Accès rapide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source</w:t>
            </w:r>
          </w:p>
        </w:tc>
        <w:tc>
          <w:tcPr/>
          <w:p>
            <w:pPr>
              <w:pStyle w:val="Compact"/>
            </w:pPr>
            <w:r>
              <w:t xml:space="preserve">https://github.com/Akerman64/tp-budget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APK Android</w:t>
            </w:r>
          </w:p>
        </w:tc>
        <w:tc>
          <w:tcPr/>
          <w:p>
            <w:pPr>
              <w:pStyle w:val="Compact"/>
            </w:pPr>
            <w:r>
              <w:t xml:space="preserve">https://expo.dev/artifacts/eas/NpHv0Q2DDg5yqjtehfpZUU80FOPlA8SEFfrKlZk7lqE.apk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du build EAS</w:t>
            </w:r>
          </w:p>
        </w:tc>
        <w:tc>
          <w:tcPr/>
          <w:p>
            <w:pPr>
              <w:pStyle w:val="Compact"/>
            </w:pPr>
            <w:r>
              <w:t xml:space="preserve">https://expo.dev/accounts/ndiasse/projects/tp-budget/builds/aa4ea79b-450d-4ca2-be20-44b5e2716a45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Compte de démonstration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demo@react-ipssi.fr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react_ipssi123</w:t>
            </w:r>
          </w:p>
        </w:tc>
      </w:tr>
    </w:tbl>
    <w:p>
      <w:pPr>
        <w:pStyle w:val="BodyText"/>
      </w:pPr>
      <w:r>
        <w:t xml:space="preserve">Le dépôt est public et le lien de l’APK est accessible sans compte : aucune</w:t>
      </w:r>
      <w:r>
        <w:t xml:space="preserve"> </w:t>
      </w:r>
      <w:r>
        <w:t xml:space="preserve">invitation ni configuration n’est nécessaire.</w:t>
      </w:r>
    </w:p>
    <w:p>
      <w:r>
        <w:pict>
          <v:rect style="width:0;height:1.5pt" o:hralign="center" o:hrstd="t" o:hr="t"/>
        </w:pict>
      </w:r>
    </w:p>
    <w:bookmarkEnd w:id="9"/>
    <w:bookmarkStart w:id="12" w:name="installer-lapplication"/>
    <w:p>
      <w:pPr>
        <w:pStyle w:val="Heading1"/>
      </w:pPr>
      <w:r>
        <w:t xml:space="preserve">2. Installer l’application</w:t>
      </w:r>
    </w:p>
    <w:bookmarkStart w:id="10" w:name="sur-un-téléphone-android-recommandé"/>
    <w:p>
      <w:pPr>
        <w:pStyle w:val="Heading2"/>
      </w:pPr>
      <w:r>
        <w:t xml:space="preserve">2.1 Sur un téléphone Android (recommandé)</w:t>
      </w:r>
    </w:p>
    <w:p>
      <w:pPr>
        <w:pStyle w:val="Compact"/>
        <w:numPr>
          <w:ilvl w:val="0"/>
          <w:numId w:val="1001"/>
        </w:numPr>
      </w:pPr>
      <w:r>
        <w:t xml:space="preserve">Ouvrir le lien de l’APK depuis le téléphone.</w:t>
      </w:r>
    </w:p>
    <w:p>
      <w:pPr>
        <w:pStyle w:val="Compact"/>
        <w:numPr>
          <w:ilvl w:val="0"/>
          <w:numId w:val="1001"/>
        </w:numPr>
      </w:pPr>
      <w:r>
        <w:t xml:space="preserve">Le navigateur avertit que le fichier peut être dangereux : accepter le</w:t>
      </w:r>
      <w:r>
        <w:t xml:space="preserve"> </w:t>
      </w:r>
      <w:r>
        <w:t xml:space="preserve">téléchargement.</w:t>
      </w:r>
    </w:p>
    <w:p>
      <w:pPr>
        <w:pStyle w:val="Compact"/>
        <w:numPr>
          <w:ilvl w:val="0"/>
          <w:numId w:val="1001"/>
        </w:numPr>
      </w:pPr>
      <w:r>
        <w:t xml:space="preserve">Ouvrir le fichier téléchargé.</w:t>
      </w:r>
    </w:p>
    <w:p>
      <w:pPr>
        <w:pStyle w:val="Compact"/>
        <w:numPr>
          <w:ilvl w:val="0"/>
          <w:numId w:val="1001"/>
        </w:numPr>
      </w:pPr>
      <w:r>
        <w:t xml:space="preserve">Android demande d’autoriser l’installation depuis cette source : accepter,</w:t>
      </w:r>
      <w:r>
        <w:t xml:space="preserve"> </w:t>
      </w:r>
      <w:r>
        <w:t xml:space="preserve">puis revenir et confirmer l’installation.</w:t>
      </w:r>
    </w:p>
    <w:p>
      <w:pPr>
        <w:pStyle w:val="FirstParagraph"/>
      </w:pPr>
      <w:r>
        <w:t xml:space="preserve">L’application s’appelle</w:t>
      </w:r>
      <w:r>
        <w:t xml:space="preserve"> </w:t>
      </w:r>
      <w:r>
        <w:rPr>
          <w:b/>
          <w:bCs/>
        </w:rPr>
        <w:t xml:space="preserve">Budget</w:t>
      </w:r>
      <w:r>
        <w:t xml:space="preserve">. Elle est autonome : elle ne nécessite pas</w:t>
      </w:r>
      <w:r>
        <w:t xml:space="preserve"> </w:t>
      </w:r>
      <w:r>
        <w:t xml:space="preserve">Expo Go.</w:t>
      </w:r>
    </w:p>
    <w:p>
      <w:pPr>
        <w:pStyle w:val="BodyText"/>
      </w:pPr>
      <w:r>
        <w:t xml:space="preserve">La page du build affiche également un QR code, qui lance directement le</w:t>
      </w:r>
      <w:r>
        <w:t xml:space="preserve"> </w:t>
      </w:r>
      <w:r>
        <w:t xml:space="preserve">téléchargement lorsqu’on le scanne depuis un Android.</w:t>
      </w:r>
    </w:p>
    <w:bookmarkEnd w:id="10"/>
    <w:bookmarkStart w:id="11" w:name="sur-iphone"/>
    <w:p>
      <w:pPr>
        <w:pStyle w:val="Heading2"/>
      </w:pPr>
      <w:r>
        <w:t xml:space="preserve">2.2 Sur iPhone</w:t>
      </w:r>
    </w:p>
    <w:p>
      <w:pPr>
        <w:pStyle w:val="FirstParagraph"/>
      </w:pPr>
      <w:r>
        <w:t xml:space="preserve">Un fichier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ne s’installe pas sur iOS. Sur iPhone, il faut passer par le</w:t>
      </w:r>
      <w:r>
        <w:t xml:space="preserve"> </w:t>
      </w:r>
      <w:r>
        <w:t xml:space="preserve">code source et Expo Go (voir section 5).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utiliser-lapplication"/>
    <w:p>
      <w:pPr>
        <w:pStyle w:val="Heading1"/>
      </w:pPr>
      <w:r>
        <w:t xml:space="preserve">3. Utiliser l’application</w:t>
      </w:r>
    </w:p>
    <w:bookmarkStart w:id="13" w:name="créer-un-compte-ou-se-connecter"/>
    <w:p>
      <w:pPr>
        <w:pStyle w:val="Heading2"/>
      </w:pPr>
      <w:r>
        <w:t xml:space="preserve">3.1 Créer un compte ou se connecter</w:t>
      </w:r>
    </w:p>
    <w:p>
      <w:pPr>
        <w:pStyle w:val="FirstParagraph"/>
      </w:pPr>
      <w:r>
        <w:t xml:space="preserve">Au premier lancement, l’écran de connexion s’affiche.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 connecter</w:t>
      </w:r>
      <w:r>
        <w:t xml:space="preserve"> </w:t>
      </w:r>
      <w:r>
        <w:t xml:space="preserve">: saisir l’adresse et le mot de passe du compte de</w:t>
      </w:r>
      <w:r>
        <w:t xml:space="preserve"> </w:t>
      </w:r>
      <w:r>
        <w:t xml:space="preserve">démonstration, ou ceux d’un compte créé précédemment.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S’inscrire</w:t>
      </w:r>
      <w:r>
        <w:t xml:space="preserve"> </w:t>
      </w:r>
      <w:r>
        <w:t xml:space="preserve">: toucher « Pas encore de compte ? S’inscrire », renseigner une</w:t>
      </w:r>
      <w:r>
        <w:t xml:space="preserve"> </w:t>
      </w:r>
      <w:r>
        <w:t xml:space="preserve">adresse e-mail et un mot de passe d’au moins six caractères. Le compte est créé</w:t>
      </w:r>
      <w:r>
        <w:t xml:space="preserve"> </w:t>
      </w:r>
      <w:r>
        <w:t xml:space="preserve">immédiatement, sans confirmation par e-mail.</w:t>
      </w:r>
    </w:p>
    <w:p>
      <w:pPr>
        <w:pStyle w:val="FirstParagraph"/>
      </w:pPr>
      <w:r>
        <w:t xml:space="preserve">La session est conservée : il n’est pas nécessaire de se reconnecter à chaque</w:t>
      </w:r>
      <w:r>
        <w:t xml:space="preserve"> </w:t>
      </w:r>
      <w:r>
        <w:t xml:space="preserve">ouverture de l’application.</w:t>
      </w:r>
    </w:p>
    <w:bookmarkEnd w:id="13"/>
    <w:bookmarkStart w:id="14" w:name="écran-daccueil-le-budget-du-mois"/>
    <w:p>
      <w:pPr>
        <w:pStyle w:val="Heading2"/>
      </w:pPr>
      <w:r>
        <w:t xml:space="preserve">3.2 Écran d’accueil — le budget du mois</w:t>
      </w:r>
    </w:p>
    <w:p>
      <w:pPr>
        <w:pStyle w:val="FirstParagraph"/>
      </w:pPr>
      <w:r>
        <w:t xml:space="preserve">L’écran principal affiche :</w:t>
      </w:r>
    </w:p>
    <w:p>
      <w:pPr>
        <w:pStyle w:val="Compact"/>
        <w:numPr>
          <w:ilvl w:val="0"/>
          <w:numId w:val="100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total dépensé</w:t>
      </w:r>
      <w:r>
        <w:t xml:space="preserve"> </w:t>
      </w:r>
      <w:r>
        <w:t xml:space="preserve">depuis le premier jour du mois en cours ;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jauge de budget</w:t>
      </w:r>
      <w:r>
        <w:t xml:space="preserve">, si un objectif a été défini : verte tant que le budget</w:t>
      </w:r>
      <w:r>
        <w:t xml:space="preserve"> </w:t>
      </w:r>
      <w:r>
        <w:t xml:space="preserve">est respecté, rouge en cas de dépassement ;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répartition</w:t>
      </w:r>
      <w:r>
        <w:t xml:space="preserve"> </w:t>
      </w:r>
      <w:r>
        <w:t xml:space="preserve">des quatre principaux postes de dépense ;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liste des dépenses</w:t>
      </w:r>
      <w:r>
        <w:t xml:space="preserve">, de la plus récente à la plus ancienne.</w:t>
      </w:r>
    </w:p>
    <w:p>
      <w:pPr>
        <w:pStyle w:val="FirstParagraph"/>
      </w:pPr>
      <w:r>
        <w:t xml:space="preserve">Tirer la liste vers le bas actualise les données.</w:t>
      </w:r>
    </w:p>
    <w:bookmarkEnd w:id="14"/>
    <w:bookmarkStart w:id="15" w:name="ajouter-une-dépense"/>
    <w:p>
      <w:pPr>
        <w:pStyle w:val="Heading2"/>
      </w:pPr>
      <w:r>
        <w:t xml:space="preserve">3.3 Ajouter une dépense</w:t>
      </w:r>
    </w:p>
    <w:p>
      <w:pPr>
        <w:pStyle w:val="Compact"/>
        <w:numPr>
          <w:ilvl w:val="0"/>
          <w:numId w:val="1004"/>
        </w:numPr>
      </w:pPr>
      <w:r>
        <w:t xml:space="preserve">Toucher le bouton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en bas à droite.</w:t>
      </w:r>
    </w:p>
    <w:p>
      <w:pPr>
        <w:pStyle w:val="Compact"/>
        <w:numPr>
          <w:ilvl w:val="0"/>
          <w:numId w:val="1004"/>
        </w:numPr>
      </w:pPr>
      <w:r>
        <w:t xml:space="preserve">Saisir le libellé, par exemple « Courses Lidl », « Navigo » ou « Netflix ».</w:t>
      </w:r>
    </w:p>
    <w:p>
      <w:pPr>
        <w:pStyle w:val="Compact"/>
        <w:numPr>
          <w:ilvl w:val="0"/>
          <w:numId w:val="1004"/>
        </w:numPr>
      </w:pPr>
      <w:r>
        <w:t xml:space="preserve">Toucher un autre champ :</w:t>
      </w:r>
      <w:r>
        <w:t xml:space="preserve"> </w:t>
      </w:r>
      <w:r>
        <w:rPr>
          <w:b/>
          <w:bCs/>
        </w:rPr>
        <w:t xml:space="preserve">la catégorie est proposée automatiquement</w:t>
      </w:r>
      <w:r>
        <w:t xml:space="preserve">, avec</w:t>
      </w:r>
      <w:r>
        <w:t xml:space="preserve"> </w:t>
      </w:r>
      <w:r>
        <w:t xml:space="preserve">la mention « suggérée automatiquement ». Elle reste modifiable manuellement.</w:t>
      </w:r>
    </w:p>
    <w:p>
      <w:pPr>
        <w:pStyle w:val="Compact"/>
        <w:numPr>
          <w:ilvl w:val="0"/>
          <w:numId w:val="1004"/>
        </w:numPr>
      </w:pPr>
      <w:r>
        <w:t xml:space="preserve">Saisir le montant.</w:t>
      </w:r>
    </w:p>
    <w:p>
      <w:pPr>
        <w:pStyle w:val="Compact"/>
        <w:numPr>
          <w:ilvl w:val="0"/>
          <w:numId w:val="1004"/>
        </w:numPr>
      </w:pPr>
      <w:r>
        <w:t xml:space="preserve">Toucher « Enregistrer la dépense ».</w:t>
      </w:r>
    </w:p>
    <w:p>
      <w:pPr>
        <w:pStyle w:val="FirstParagraph"/>
      </w:pPr>
      <w:r>
        <w:t xml:space="preserve">La dépense apparaît immédiatement dans la liste et le total est recalculé.</w:t>
      </w:r>
    </w:p>
    <w:bookmarkEnd w:id="15"/>
    <w:bookmarkStart w:id="16" w:name="X17de386e20731b33b2b23ec64b34b91d9c75614"/>
    <w:p>
      <w:pPr>
        <w:pStyle w:val="Heading2"/>
      </w:pPr>
      <w:r>
        <w:t xml:space="preserve">3.4 Consulter, modifier ou supprimer une dépense</w:t>
      </w:r>
    </w:p>
    <w:p>
      <w:pPr>
        <w:pStyle w:val="FirstParagraph"/>
      </w:pPr>
      <w:r>
        <w:t xml:space="preserve">Toucher une ligne de la liste ouvre l’écran de détail : montant, date complète et</w:t>
      </w:r>
      <w:r>
        <w:t xml:space="preserve"> </w:t>
      </w:r>
      <w:r>
        <w:t xml:space="preserve">catégorie. Depuis cet écran, il est possible de modifier le libellé, le montant</w:t>
      </w:r>
      <w:r>
        <w:t xml:space="preserve"> </w:t>
      </w:r>
      <w:r>
        <w:t xml:space="preserve">ou la catégorie, puis d’enregistrer. Le bouton « Supprimer la dépense » demande</w:t>
      </w:r>
      <w:r>
        <w:t xml:space="preserve"> </w:t>
      </w:r>
      <w:r>
        <w:t xml:space="preserve">une confirmation avant d’effacer définitivement la ligne.</w:t>
      </w:r>
    </w:p>
    <w:bookmarkEnd w:id="16"/>
    <w:bookmarkStart w:id="17" w:name="définir-un-budget-mensuel"/>
    <w:p>
      <w:pPr>
        <w:pStyle w:val="Heading2"/>
      </w:pPr>
      <w:r>
        <w:t xml:space="preserve">3.5 Définir un budget mensuel</w:t>
      </w:r>
    </w:p>
    <w:p>
      <w:pPr>
        <w:pStyle w:val="FirstParagraph"/>
      </w:pPr>
      <w:r>
        <w:t xml:space="preserve">L’icône ⚙️ en haut à droite ouvre l’écran du compte. On y saisit le budget</w:t>
      </w:r>
      <w:r>
        <w:t xml:space="preserve"> </w:t>
      </w:r>
      <w:r>
        <w:t xml:space="preserve">mensuel, par exemple 600. La jauge apparaît alors sur l’écran d’accueil. Laisser</w:t>
      </w:r>
      <w:r>
        <w:t xml:space="preserve"> </w:t>
      </w:r>
      <w:r>
        <w:t xml:space="preserve">le champ vide masque l’objectif.</w:t>
      </w:r>
    </w:p>
    <w:p>
      <w:pPr>
        <w:pStyle w:val="BodyText"/>
      </w:pPr>
      <w:r>
        <w:t xml:space="preserve">C’est également depuis cet écran que l’on se déconnecte.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vérifier-lisolation-des-données"/>
    <w:p>
      <w:pPr>
        <w:pStyle w:val="Heading1"/>
      </w:pPr>
      <w:r>
        <w:t xml:space="preserve">4. Vérifier l’isolation des données</w:t>
      </w:r>
    </w:p>
    <w:p>
      <w:pPr>
        <w:pStyle w:val="FirstParagraph"/>
      </w:pPr>
      <w:r>
        <w:t xml:space="preserve">Chaque utilisateur ne voit que ses propres dépenses. Pour le constater :</w:t>
      </w:r>
    </w:p>
    <w:p>
      <w:pPr>
        <w:pStyle w:val="Compact"/>
        <w:numPr>
          <w:ilvl w:val="0"/>
          <w:numId w:val="1005"/>
        </w:numPr>
      </w:pPr>
      <w:r>
        <w:t xml:space="preserve">Se connecter avec le compte de démonstration et noter les dépenses affichées.</w:t>
      </w:r>
    </w:p>
    <w:p>
      <w:pPr>
        <w:pStyle w:val="Compact"/>
        <w:numPr>
          <w:ilvl w:val="0"/>
          <w:numId w:val="1005"/>
        </w:numPr>
      </w:pPr>
      <w:r>
        <w:t xml:space="preserve">Se déconnecter, puis créer un second compte.</w:t>
      </w:r>
    </w:p>
    <w:p>
      <w:pPr>
        <w:pStyle w:val="Compact"/>
        <w:numPr>
          <w:ilvl w:val="0"/>
          <w:numId w:val="1005"/>
        </w:numPr>
      </w:pPr>
      <w:r>
        <w:t xml:space="preserve">La liste est</w:t>
      </w:r>
      <w:r>
        <w:t xml:space="preserve"> </w:t>
      </w:r>
      <w:r>
        <w:rPr>
          <w:b/>
          <w:bCs/>
        </w:rPr>
        <w:t xml:space="preserve">vide</w:t>
      </w:r>
      <w:r>
        <w:t xml:space="preserve"> </w:t>
      </w:r>
      <w:r>
        <w:t xml:space="preserve">: les dépenses du premier compte sont invisibles.</w:t>
      </w:r>
    </w:p>
    <w:p>
      <w:pPr>
        <w:pStyle w:val="Compact"/>
        <w:numPr>
          <w:ilvl w:val="0"/>
          <w:numId w:val="1005"/>
        </w:numPr>
      </w:pPr>
      <w:r>
        <w:t xml:space="preserve">Se reconnecter au premier compte : les dépenses sont toujours présentes.</w:t>
      </w:r>
    </w:p>
    <w:p>
      <w:pPr>
        <w:pStyle w:val="FirstParagraph"/>
      </w:pPr>
      <w:r>
        <w:t xml:space="preserve">Cette séparation est assurée par les politiques Row Level Security de</w:t>
      </w:r>
      <w:r>
        <w:t xml:space="preserve"> </w:t>
      </w:r>
      <w:r>
        <w:t xml:space="preserve">PostgreSQL, définies dans le fichier</w:t>
      </w:r>
      <w:r>
        <w:t xml:space="preserve"> </w:t>
      </w:r>
      <w:r>
        <w:rPr>
          <w:rStyle w:val="VerbatimChar"/>
        </w:rPr>
        <w:t xml:space="preserve">supabase.sql</w:t>
      </w:r>
      <w:r>
        <w:t xml:space="preserve">. Elle est appliquée par la</w:t>
      </w:r>
      <w:r>
        <w:t xml:space="preserve"> </w:t>
      </w:r>
      <w:r>
        <w:t xml:space="preserve">base de données elle-même, et non par l’application : une requête tentant de</w:t>
      </w:r>
      <w:r>
        <w:t xml:space="preserve"> </w:t>
      </w:r>
      <w:r>
        <w:t xml:space="preserve">lire ou d’écrire les données d’un autre utilisateur est rejetée par le serveur.</w:t>
      </w:r>
    </w:p>
    <w:p>
      <w:r>
        <w:pict>
          <v:rect style="width:0;height:1.5pt" o:hralign="center" o:hrstd="t" o:hr="t"/>
        </w:pict>
      </w:r>
    </w:p>
    <w:bookmarkEnd w:id="19"/>
    <w:bookmarkStart w:id="21" w:name="lancer-le-code-source"/>
    <w:p>
      <w:pPr>
        <w:pStyle w:val="Heading1"/>
      </w:pPr>
      <w:r>
        <w:t xml:space="preserve">5. Lancer le code source</w:t>
      </w:r>
    </w:p>
    <w:p>
      <w:pPr>
        <w:pStyle w:val="FirstParagraph"/>
      </w:pPr>
      <w:r>
        <w:t xml:space="preserve">Utile pour consulter le projet, le modifier, ou le tester depuis un iPhone.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https://github.com/Akerman64/tp-budget.git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tp-budget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</w:p>
    <w:p>
      <w:pPr>
        <w:pStyle w:val="FirstParagraph"/>
      </w:pPr>
      <w:r>
        <w:t xml:space="preserve">Puis scanner le QR code affiché dans le terminal avec</w:t>
      </w:r>
      <w:r>
        <w:t xml:space="preserve"> </w:t>
      </w:r>
      <w:r>
        <w:rPr>
          <w:b/>
          <w:bCs/>
        </w:rPr>
        <w:t xml:space="preserve">Expo Go</w:t>
      </w:r>
      <w:r>
        <w:t xml:space="preserve"> </w:t>
      </w:r>
      <w:r>
        <w:t xml:space="preserve">(SDK 54),</w:t>
      </w:r>
      <w:r>
        <w:t xml:space="preserve"> </w:t>
      </w:r>
      <w:r>
        <w:t xml:space="preserve">téléphone et ordinateur devant être sur le même réseau Wi-Fi. Sur iPhone,</w:t>
      </w:r>
      <w:r>
        <w:t xml:space="preserve"> </w:t>
      </w:r>
      <w:r>
        <w:t xml:space="preserve">scanner avec l’application Appareil photo plutôt que depuis Expo Go.</w:t>
      </w:r>
    </w:p>
    <w:p>
      <w:pPr>
        <w:pStyle w:val="BodyText"/>
      </w:pPr>
      <w:r>
        <w:t xml:space="preserve">Les identifiants Supabase sont déjà renseignés dans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 </w:t>
      </w:r>
      <w:r>
        <w:t xml:space="preserve">et les tables</w:t>
      </w:r>
      <w:r>
        <w:t xml:space="preserve"> </w:t>
      </w:r>
      <w:r>
        <w:t xml:space="preserve">existent : l’application fonctionne sans configuration supplémentaire.</w:t>
      </w:r>
    </w:p>
    <w:bookmarkStart w:id="20" w:name="repartir-dune-base-neuve"/>
    <w:p>
      <w:pPr>
        <w:pStyle w:val="Heading2"/>
      </w:pPr>
      <w:r>
        <w:t xml:space="preserve">5.1 Repartir d’une base neuve</w:t>
      </w:r>
    </w:p>
    <w:p>
      <w:pPr>
        <w:pStyle w:val="Compact"/>
        <w:numPr>
          <w:ilvl w:val="0"/>
          <w:numId w:val="1006"/>
        </w:numPr>
      </w:pPr>
      <w:r>
        <w:t xml:space="preserve">Créer un projet sur supabase.com.</w:t>
      </w:r>
    </w:p>
    <w:p>
      <w:pPr>
        <w:pStyle w:val="Compact"/>
        <w:numPr>
          <w:ilvl w:val="0"/>
          <w:numId w:val="1006"/>
        </w:numPr>
      </w:pPr>
      <w:r>
        <w:t xml:space="preserve">Exécuter le contenu de</w:t>
      </w:r>
      <w:r>
        <w:t xml:space="preserve"> </w:t>
      </w:r>
      <w:r>
        <w:rPr>
          <w:rStyle w:val="VerbatimChar"/>
        </w:rPr>
        <w:t xml:space="preserve">supabase.sql</w:t>
      </w:r>
      <w:r>
        <w:t xml:space="preserve"> </w:t>
      </w:r>
      <w:r>
        <w:t xml:space="preserve">dans le SQL Editor : le script crée les</w:t>
      </w:r>
      <w:r>
        <w:t xml:space="preserve"> </w:t>
      </w:r>
      <w:r>
        <w:t xml:space="preserve">tables</w:t>
      </w:r>
      <w:r>
        <w:t xml:space="preserve"> </w:t>
      </w:r>
      <w:r>
        <w:rPr>
          <w:rStyle w:val="VerbatimChar"/>
        </w:rPr>
        <w:t xml:space="preserve">depenses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profils</w:t>
      </w:r>
      <w:r>
        <w:t xml:space="preserve"> </w:t>
      </w:r>
      <w:r>
        <w:t xml:space="preserve">puis active les politiques de sécurité.</w:t>
      </w:r>
    </w:p>
    <w:p>
      <w:pPr>
        <w:pStyle w:val="Compact"/>
        <w:numPr>
          <w:ilvl w:val="0"/>
          <w:numId w:val="1006"/>
        </w:numPr>
      </w:pPr>
      <w:r>
        <w:t xml:space="preserve">Dans</w:t>
      </w:r>
      <w:r>
        <w:t xml:space="preserve"> </w:t>
      </w:r>
      <w:r>
        <w:rPr>
          <w:i/>
          <w:iCs/>
        </w:rPr>
        <w:t xml:space="preserve">Authentication → Providers → Email</w:t>
      </w:r>
      <w:r>
        <w:t xml:space="preserve">, désactiver « Confirm email » pour</w:t>
      </w:r>
      <w:r>
        <w:t xml:space="preserve"> </w:t>
      </w:r>
      <w:r>
        <w:t xml:space="preserve">permettre l’inscription sans validation par courriel.</w:t>
      </w:r>
    </w:p>
    <w:p>
      <w:pPr>
        <w:pStyle w:val="Compact"/>
        <w:numPr>
          <w:ilvl w:val="0"/>
          <w:numId w:val="1006"/>
        </w:numPr>
      </w:pPr>
      <w:r>
        <w:t xml:space="preserve">Reporter l’URL du projet et la clé publique dans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-catégorisation-automatique"/>
    <w:p>
      <w:pPr>
        <w:pStyle w:val="Heading1"/>
      </w:pPr>
      <w:r>
        <w:t xml:space="preserve">6. La catégorisation automatique</w:t>
      </w:r>
    </w:p>
    <w:p>
      <w:pPr>
        <w:pStyle w:val="FirstParagraph"/>
      </w:pPr>
      <w:r>
        <w:t xml:space="preserve">Lorsqu’un libellé est saisi, l’application propose une catégorie. Deux modes</w:t>
      </w:r>
      <w:r>
        <w:t xml:space="preserve"> </w:t>
      </w:r>
      <w:r>
        <w:t xml:space="preserve">existent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Sans configuration</w:t>
      </w:r>
      <w:r>
        <w:t xml:space="preserve"> </w:t>
      </w:r>
      <w:r>
        <w:t xml:space="preserve">(état actuel) : des règles par mots-clés associent le</w:t>
      </w:r>
      <w:r>
        <w:t xml:space="preserve"> </w:t>
      </w:r>
      <w:r>
        <w:t xml:space="preserve">libellé à une catégorie. « Navigo » et « essence » donnent Transport, « Lidl »</w:t>
      </w:r>
      <w:r>
        <w:t xml:space="preserve"> </w:t>
      </w:r>
      <w:r>
        <w:t xml:space="preserve">et « boulangerie » donnent Courses, et ainsi de suite.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Avec l’API Claude</w:t>
      </w:r>
      <w:r>
        <w:t xml:space="preserve"> </w:t>
      </w:r>
      <w:r>
        <w:t xml:space="preserve">: une Edge Function Supabase interroge un modèle de</w:t>
      </w:r>
      <w:r>
        <w:t xml:space="preserve"> </w:t>
      </w:r>
      <w:r>
        <w:t xml:space="preserve">langage, qui renvoie la catégorie la plus probable.</w:t>
      </w:r>
    </w:p>
    <w:p>
      <w:pPr>
        <w:pStyle w:val="FirstParagraph"/>
      </w:pPr>
      <w:r>
        <w:t xml:space="preserve">Pour activer le second mode :</w:t>
      </w:r>
    </w:p>
    <w:p>
      <w:pPr>
        <w:pStyle w:val="SourceCode"/>
      </w:pPr>
      <w:r>
        <w:rPr>
          <w:rStyle w:val="ExtensionTok"/>
        </w:rPr>
        <w:t xml:space="preserve">supabase</w:t>
      </w:r>
      <w:r>
        <w:rPr>
          <w:rStyle w:val="NormalTok"/>
        </w:rPr>
        <w:t xml:space="preserve"> functions deploy categoriser </w:t>
      </w:r>
      <w:r>
        <w:rPr>
          <w:rStyle w:val="AttributeTok"/>
        </w:rPr>
        <w:t xml:space="preserve">--no-verify-jwt</w:t>
      </w:r>
      <w:r>
        <w:br/>
      </w:r>
      <w:r>
        <w:rPr>
          <w:rStyle w:val="ExtensionTok"/>
        </w:rPr>
        <w:t xml:space="preserve">supabase</w:t>
      </w:r>
      <w:r>
        <w:rPr>
          <w:rStyle w:val="NormalTok"/>
        </w:rPr>
        <w:t xml:space="preserve"> secrets set ANTHROPIC_API_KEY=sk-ant-...</w:t>
      </w:r>
    </w:p>
    <w:p>
      <w:pPr>
        <w:pStyle w:val="FirstParagraph"/>
      </w:pPr>
      <w:r>
        <w:t xml:space="preserve">puis renseigner l’URL de la fonction dans la constante</w:t>
      </w:r>
      <w:r>
        <w:t xml:space="preserve"> </w:t>
      </w:r>
      <w:r>
        <w:rPr>
          <w:rStyle w:val="VerbatimChar"/>
        </w:rPr>
        <w:t xml:space="preserve">IA_ENDPOINT</w:t>
      </w:r>
      <w:r>
        <w:t xml:space="preserve"> </w:t>
      </w:r>
      <w:r>
        <w:t xml:space="preserve">du fichier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.</w:t>
      </w:r>
    </w:p>
    <w:p>
      <w:pPr>
        <w:pStyle w:val="BodyText"/>
      </w:pPr>
      <w:r>
        <w:t xml:space="preserve">La clé API demeure sur le serveur : elle ne figure jamais dans l’application</w:t>
      </w:r>
      <w:r>
        <w:t xml:space="preserve"> </w:t>
      </w:r>
      <w:r>
        <w:t xml:space="preserve">mobile, dont le code est lisible une fois installée. Si l’appel échoue, pour</w:t>
      </w:r>
      <w:r>
        <w:t xml:space="preserve"> </w:t>
      </w:r>
      <w:r>
        <w:t xml:space="preserve">quelque raison que ce soit, l’application revient automatiquement aux règles par</w:t>
      </w:r>
      <w:r>
        <w:t xml:space="preserve"> </w:t>
      </w:r>
      <w:r>
        <w:t xml:space="preserve">mots-clés — la fonctionnalité se dégrade sans jamais bloquer l’utilisateur.</w:t>
      </w:r>
    </w:p>
    <w:p>
      <w:r>
        <w:pict>
          <v:rect style="width:0;height:1.5pt" o:hralign="center" o:hrstd="t" o:hr="t"/>
        </w:pict>
      </w:r>
    </w:p>
    <w:bookmarkEnd w:id="22"/>
    <w:bookmarkStart w:id="23" w:name="recompiler-lapplication"/>
    <w:p>
      <w:pPr>
        <w:pStyle w:val="Heading1"/>
      </w:pPr>
      <w:r>
        <w:t xml:space="preserve">7. Recompiler l’application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eas-cli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tp-budget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produit un</w:t>
      </w:r>
      <w:r>
        <w:t xml:space="preserve"> </w:t>
      </w:r>
      <w:r>
        <w:rPr>
          <w:rStyle w:val="VerbatimChar"/>
        </w:rPr>
        <w:t xml:space="preserve">.apk</w:t>
      </w:r>
      <w:r>
        <w:t xml:space="preserve"> </w:t>
      </w:r>
      <w:r>
        <w:t xml:space="preserve">directement installable. Le profil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produit un</w:t>
      </w:r>
      <w:r>
        <w:t xml:space="preserve"> </w:t>
      </w:r>
      <w:r>
        <w:rPr>
          <w:rStyle w:val="VerbatimChar"/>
        </w:rPr>
        <w:t xml:space="preserve">.aab</w:t>
      </w:r>
      <w:r>
        <w:t xml:space="preserve">, format attendu par la Google Play Console pour la</w:t>
      </w:r>
      <w:r>
        <w:t xml:space="preserve"> </w:t>
      </w:r>
      <w:r>
        <w:t xml:space="preserve">piste Test interne.</w:t>
      </w:r>
    </w:p>
    <w:p>
      <w:pPr>
        <w:pStyle w:val="BodyText"/>
      </w:pPr>
      <w:r>
        <w:t xml:space="preserve">La compilation s’effectue sur les serveurs d’Expo ; le lien de téléchargement</w:t>
      </w:r>
      <w:r>
        <w:t xml:space="preserve"> </w:t>
      </w:r>
      <w:r>
        <w:t xml:space="preserve">s’affiche à la fin, et reste consultable dans l’onglet</w:t>
      </w:r>
      <w:r>
        <w:t xml:space="preserve"> </w:t>
      </w:r>
      <w:r>
        <w:rPr>
          <w:b/>
          <w:bCs/>
        </w:rPr>
        <w:t xml:space="preserve">Builds</w:t>
      </w:r>
      <w:r>
        <w:t xml:space="preserve"> </w:t>
      </w:r>
      <w:r>
        <w:t xml:space="preserve">du projet sur</w:t>
      </w:r>
      <w:r>
        <w:t xml:space="preserve"> </w:t>
      </w:r>
      <w:r>
        <w:t xml:space="preserve">expo.dev. Le temps d’attente varie de quelques minutes à plusieurs heures selon</w:t>
      </w:r>
      <w:r>
        <w:t xml:space="preserve"> </w:t>
      </w:r>
      <w:r>
        <w:t xml:space="preserve">la charge.</w:t>
      </w:r>
    </w:p>
    <w:p>
      <w:r>
        <w:pict>
          <v:rect style="width:0;height:1.5pt" o:hralign="center" o:hrstd="t" o:hr="t"/>
        </w:pict>
      </w:r>
    </w:p>
    <w:bookmarkEnd w:id="23"/>
    <w:bookmarkStart w:id="24" w:name="organisation-du-code"/>
    <w:p>
      <w:pPr>
        <w:pStyle w:val="Heading1"/>
      </w:pPr>
      <w:r>
        <w:t xml:space="preserve">8. Organisation du code</w:t>
      </w:r>
    </w:p>
    <w:p>
      <w:pPr>
        <w:pStyle w:val="SourceCode"/>
      </w:pPr>
      <w:r>
        <w:rPr>
          <w:rStyle w:val="VerbatimChar"/>
        </w:rPr>
        <w:t xml:space="preserve">App.js                    navigation et gestion de la session</w:t>
      </w:r>
      <w:r>
        <w:br/>
      </w:r>
      <w:r>
        <w:rPr>
          <w:rStyle w:val="VerbatimChar"/>
        </w:rPr>
        <w:t xml:space="preserve">config.js                 identifiants Supabase, adresse de l'Edge Function</w:t>
      </w:r>
      <w:r>
        <w:br/>
      </w:r>
      <w:r>
        <w:rPr>
          <w:rStyle w:val="VerbatimChar"/>
        </w:rPr>
        <w:t xml:space="preserve">theme.js                  couleurs, catégories, mise en forme des montants</w:t>
      </w:r>
      <w:r>
        <w:br/>
      </w:r>
      <w:r>
        <w:rPr>
          <w:rStyle w:val="VerbatimChar"/>
        </w:rPr>
        <w:t xml:space="preserve">lib/supabase.js           client Supabase, session persistée</w:t>
      </w:r>
      <w:r>
        <w:br/>
      </w:r>
      <w:r>
        <w:rPr>
          <w:rStyle w:val="VerbatimChar"/>
        </w:rPr>
        <w:t xml:space="preserve">lib/ia.js                 catégorisation automatique</w:t>
      </w:r>
      <w:r>
        <w:br/>
      </w:r>
      <w:r>
        <w:rPr>
          <w:rStyle w:val="VerbatimChar"/>
        </w:rPr>
        <w:t xml:space="preserve">screens/AuthScreen.js     inscription et connexion</w:t>
      </w:r>
      <w:r>
        <w:br/>
      </w:r>
      <w:r>
        <w:rPr>
          <w:rStyle w:val="VerbatimChar"/>
        </w:rPr>
        <w:t xml:space="preserve">screens/DepensesScreen.js accueil : total, objectif, répartition, liste</w:t>
      </w:r>
      <w:r>
        <w:br/>
      </w:r>
      <w:r>
        <w:rPr>
          <w:rStyle w:val="VerbatimChar"/>
        </w:rPr>
        <w:t xml:space="preserve">screens/AjoutScreen.js    formulaire d'ajout</w:t>
      </w:r>
      <w:r>
        <w:br/>
      </w:r>
      <w:r>
        <w:rPr>
          <w:rStyle w:val="VerbatimChar"/>
        </w:rPr>
        <w:t xml:space="preserve">screens/DetailScreen.js   détail, modification, suppression</w:t>
      </w:r>
      <w:r>
        <w:br/>
      </w:r>
      <w:r>
        <w:rPr>
          <w:rStyle w:val="VerbatimChar"/>
        </w:rPr>
        <w:t xml:space="preserve">screens/ProfilScreen.js   budget mensuel, déconnexion</w:t>
      </w:r>
      <w:r>
        <w:br/>
      </w:r>
      <w:r>
        <w:rPr>
          <w:rStyle w:val="VerbatimChar"/>
        </w:rPr>
        <w:t xml:space="preserve">supabase.sql              tables et politiques de sécurité</w:t>
      </w:r>
      <w:r>
        <w:br/>
      </w:r>
      <w:r>
        <w:rPr>
          <w:rStyle w:val="VerbatimChar"/>
        </w:rPr>
        <w:t xml:space="preserve">supabase/functions/       Edge Function de catégorisation</w:t>
      </w:r>
    </w:p>
    <w:p>
      <w:r>
        <w:pict>
          <v:rect style="width:0;height:1.5pt" o:hralign="center" o:hrstd="t" o:hr="t"/>
        </w:pict>
      </w:r>
    </w:p>
    <w:bookmarkEnd w:id="24"/>
    <w:bookmarkStart w:id="25" w:name="en-cas-de-problème"/>
    <w:p>
      <w:pPr>
        <w:pStyle w:val="Heading1"/>
      </w:pPr>
      <w:r>
        <w:t xml:space="preserve">9. En cas de problème</w:t>
      </w:r>
    </w:p>
    <w:p>
      <w:pPr>
        <w:pStyle w:val="FirstParagraph"/>
      </w:pPr>
      <w:r>
        <w:rPr>
          <w:b/>
          <w:bCs/>
        </w:rPr>
        <w:t xml:space="preserve">L’écran affiche un message d’erreur avec un bouton « Réessayer ».</w:t>
      </w:r>
      <w:r>
        <w:t xml:space="preserve"> </w:t>
      </w:r>
      <w:r>
        <w:t xml:space="preserve">L’application n’atteint pas la base. Vérifier la connexion réseau du téléphone,</w:t>
      </w:r>
      <w:r>
        <w:t xml:space="preserve"> </w:t>
      </w:r>
      <w:r>
        <w:t xml:space="preserve">puis toucher « Réessayer ».</w:t>
      </w:r>
    </w:p>
    <w:p>
      <w:pPr>
        <w:pStyle w:val="BodyText"/>
      </w:pPr>
      <w:r>
        <w:rPr>
          <w:b/>
          <w:bCs/>
        </w:rPr>
        <w:t xml:space="preserve">L’inscription échoue avec « Cette adresse est déjà utilisée ».</w:t>
      </w:r>
      <w:r>
        <w:t xml:space="preserve"> </w:t>
      </w:r>
      <w:r>
        <w:t xml:space="preserve">Un compte existe déjà pour cette adresse : utiliser la connexion.</w:t>
      </w:r>
    </w:p>
    <w:p>
      <w:pPr>
        <w:pStyle w:val="BodyText"/>
      </w:pPr>
      <w:r>
        <w:rPr>
          <w:b/>
          <w:bCs/>
        </w:rPr>
        <w:t xml:space="preserve">Expo Go affiche « project is incompatible ».</w:t>
      </w:r>
      <w:r>
        <w:t xml:space="preserve"> </w:t>
      </w:r>
      <w:r>
        <w:t xml:space="preserve">La version d’Expo Go installée ne correspond pas au SDK 54. Mettre Expo Go à</w:t>
      </w:r>
      <w:r>
        <w:t xml:space="preserve"> </w:t>
      </w:r>
      <w:r>
        <w:t xml:space="preserve">jour depuis le magasin d’applications.</w:t>
      </w:r>
    </w:p>
    <w:p>
      <w:pPr>
        <w:pStyle w:val="BodyText"/>
      </w:pPr>
      <w:r>
        <w:rPr>
          <w:b/>
          <w:bCs/>
        </w:rPr>
        <w:t xml:space="preserve">Le QR code ne fonctionne pas.</w:t>
      </w:r>
      <w:r>
        <w:t xml:space="preserve"> </w:t>
      </w:r>
      <w:r>
        <w:t xml:space="preserve">Le téléphone et l’ordinateur doivent être sur le même réseau. Un changement de</w:t>
      </w:r>
      <w:r>
        <w:t xml:space="preserve"> </w:t>
      </w:r>
      <w:r>
        <w:t xml:space="preserve">réseau modifie l’adresse du serveur : relancer</w:t>
      </w:r>
      <w:r>
        <w:t xml:space="preserve"> </w:t>
      </w:r>
      <w:r>
        <w:rPr>
          <w:rStyle w:val="VerbatimChar"/>
        </w:rPr>
        <w:t xml:space="preserve">npx expo start</w:t>
      </w:r>
      <w:r>
        <w:t xml:space="preserve"> </w:t>
      </w:r>
      <w:r>
        <w:t xml:space="preserve">pour obtenir un</w:t>
      </w:r>
      <w:r>
        <w:t xml:space="preserve"> </w:t>
      </w:r>
      <w:r>
        <w:t xml:space="preserve">QR code à jour.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— Documentation</dc:title>
  <dc:creator/>
  <dc:language>fr-FR</dc:language>
  <cp:keywords/>
  <dcterms:created xsi:type="dcterms:W3CDTF">2026-07-29T10:30:30Z</dcterms:created>
  <dcterms:modified xsi:type="dcterms:W3CDTF">2026-07-29T10:30:30Z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TP de groupe React Native</vt:lpwstr>
  </property>
</Properties>
</file>