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ku0k12pgey2" w:id="0"/>
      <w:bookmarkEnd w:id="0"/>
      <w:r w:rsidDel="00000000" w:rsidR="00000000" w:rsidRPr="00000000">
        <w:rPr>
          <w:b w:val="1"/>
          <w:bCs w:val="1"/>
          <w:rtl w:val="0"/>
        </w:rPr>
        <w:t xml:space="preserve">Bot IA de Trading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7gyh7wxfplzw" w:id="1"/>
      <w:bookmarkEnd w:id="1"/>
      <w:r w:rsidDel="00000000" w:rsidR="00000000" w:rsidRPr="00000000">
        <w:rPr>
          <w:rtl w:val="0"/>
        </w:rPr>
        <w:t xml:space="preserve">Données à analyser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delta_price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delta_SMA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delta_EMA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Bollinger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Volumes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OpenPrice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ClosePricce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Oscillateur stochastique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3mugn6jycmus" w:id="2"/>
      <w:bookmarkEnd w:id="2"/>
      <w:r w:rsidDel="00000000" w:rsidR="00000000" w:rsidRPr="00000000">
        <w:rPr>
          <w:b w:val="1"/>
          <w:bCs w:val="1"/>
          <w:rtl w:val="0"/>
        </w:rPr>
        <w:t xml:space="preserve">Règles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1f3f4" w:val="clear"/>
        <w:rPr/>
      </w:pPr>
      <w:r w:rsidDel="00000000" w:rsidR="00000000" w:rsidRPr="00000000">
        <w:rPr>
          <w:b w:val="1"/>
          <w:bCs w:val="1"/>
          <w:rtl w:val="0"/>
        </w:rPr>
        <w:t xml:space="preserve">Règles de traitement des données : </w:t>
      </w:r>
      <w:r w:rsidDel="00000000" w:rsidR="00000000" w:rsidRPr="00000000">
        <w:rPr>
          <w:rtl w:val="0"/>
        </w:rPr>
        <w:t xml:space="preserve">Il est impératif de normaliser les données et de privilégier les séries stationnaires. À noter : les volumes, ainsi que les prix d'ouverture et de clôture, sont difficiles à normaliser.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pfd1l19px5eb" w:id="3"/>
      <w:bookmarkEnd w:id="3"/>
      <w:r w:rsidDel="00000000" w:rsidR="00000000" w:rsidRPr="00000000">
        <w:rPr>
          <w:rtl w:val="0"/>
        </w:rPr>
        <w:t xml:space="preserve">Ressources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Attention Is All You Need</w:t>
        </w:r>
      </w:hyperlink>
      <w:r w:rsidDel="00000000" w:rsidR="00000000" w:rsidRPr="00000000">
        <w:rPr>
          <w:rtl w:val="0"/>
        </w:rPr>
        <w:t xml:space="preserve"> (Papier de recherche original sur les Transformers)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Illustration des Transformers</w:t>
        </w:r>
      </w:hyperlink>
      <w:r w:rsidDel="00000000" w:rsidR="00000000" w:rsidRPr="00000000">
        <w:rPr>
          <w:rtl w:val="0"/>
        </w:rPr>
        <w:t xml:space="preserve"> (Guide visuel et explicatif)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How to build GPT</w:t>
        </w:r>
      </w:hyperlink>
      <w:r w:rsidDel="00000000" w:rsidR="00000000" w:rsidRPr="00000000">
        <w:rPr>
          <w:rtl w:val="0"/>
        </w:rPr>
        <w:t xml:space="preserve"> (Tutoriel vidéo par Andrej Karpathy)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https://arxiv.org/pdf/1912.09363</w:t>
        </w:r>
      </w:hyperlink>
      <w:r w:rsidDel="00000000" w:rsidR="00000000" w:rsidRPr="00000000">
        <w:rPr>
          <w:rtl w:val="0"/>
        </w:rPr>
        <w:t xml:space="preserve"> (Temporal Fusion Transformers for Interpretable Multi-horizon Time Series Forecasting 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https://research.google/blog/a-decoder-only-foundation-model-for-time-series-forecasting/</w:t>
        </w:r>
      </w:hyperlink>
      <w:r w:rsidDel="00000000" w:rsidR="00000000" w:rsidRPr="00000000">
        <w:rPr>
          <w:rtl w:val="0"/>
        </w:rPr>
        <w:t xml:space="preserve"> (TimesFM: A Time Series Foundation Model)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wz1702hg4zv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ngi30smanlds" w:id="5"/>
      <w:bookmarkEnd w:id="5"/>
      <w:r w:rsidDel="00000000" w:rsidR="00000000" w:rsidRPr="00000000">
        <w:rPr>
          <w:rtl w:val="0"/>
        </w:rPr>
        <w:t xml:space="preserve">Résumé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Calcul de l’attention 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91163" cy="140357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403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Multi-Head-Attention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Attention :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 google Bert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Entraînement contrastif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Architecture du modèle : </w:t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-676274</wp:posOffset>
                </wp:positionH>
                <wp:positionV relativeFrom="paragraph">
                  <wp:posOffset>622129</wp:posOffset>
                </wp:positionV>
                <wp:extent cx="2695591" cy="3450357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2725" y="275400"/>
                          <a:ext cx="2695591" cy="3450357"/>
                          <a:chOff x="2222725" y="275400"/>
                          <a:chExt cx="4698550" cy="6019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7500" y="1269475"/>
                            <a:ext cx="4689000" cy="502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945100" y="3991300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 &amp; Norm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360250" y="4865000"/>
                            <a:ext cx="2793300" cy="865800"/>
                          </a:xfrm>
                          <a:prstGeom prst="rect">
                            <a:avLst/>
                          </a:prstGeom>
                          <a:solidFill>
                            <a:srgbClr val="D5A6B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Self-Attention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945100" y="3072975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Feed Forward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945100" y="2065225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 &amp; Norm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4520500" y="4628000"/>
                            <a:ext cx="473400" cy="600"/>
                          </a:xfrm>
                          <a:prstGeom prst="bentConnector3">
                            <a:avLst>
                              <a:gd fmla="val 50011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4498150" y="3731950"/>
                            <a:ext cx="518100" cy="600"/>
                          </a:xfrm>
                          <a:prstGeom prst="bentConnector3">
                            <a:avLst>
                              <a:gd fmla="val 50002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4453450" y="2768925"/>
                            <a:ext cx="607500" cy="600"/>
                          </a:xfrm>
                          <a:prstGeom prst="bentConnector3">
                            <a:avLst>
                              <a:gd fmla="val 50004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2844400" y="275400"/>
                            <a:ext cx="3825600" cy="60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u w:val="single"/>
                                  <w:vertAlign w:val="baseline"/>
                                </w:rPr>
                                <w:t xml:space="preserve">Encoder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-676274</wp:posOffset>
                </wp:positionH>
                <wp:positionV relativeFrom="paragraph">
                  <wp:posOffset>622129</wp:posOffset>
                </wp:positionV>
                <wp:extent cx="2695591" cy="3450357"/>
                <wp:effectExtent b="0" l="0" r="0" t="0"/>
                <wp:wrapSquare wrapText="bothSides" distB="114300" distT="114300" distL="114300" distR="11430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5591" cy="34503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971550</wp:posOffset>
                </wp:positionV>
                <wp:extent cx="4129088" cy="2981110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8850" y="230475"/>
                          <a:ext cx="4129088" cy="2981110"/>
                          <a:chOff x="478850" y="230475"/>
                          <a:chExt cx="8665150" cy="6240575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6218650" y="235250"/>
                            <a:ext cx="2572800" cy="571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EA87D">
                              <a:alpha val="64710"/>
                            </a:srgbClr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843363" y="3890725"/>
                            <a:ext cx="1888800" cy="2118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033125" y="4455600"/>
                            <a:ext cx="150930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4"/>
                                  <w:vertAlign w:val="baseline"/>
                                </w:rPr>
                                <w:t xml:space="preserve">Encoder sentiment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6685175" y="2536038"/>
                            <a:ext cx="1640400" cy="865800"/>
                            <a:chOff x="6684875" y="2093350"/>
                            <a:chExt cx="1640400" cy="865800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6684875" y="2093350"/>
                              <a:ext cx="1640400" cy="865800"/>
                            </a:xfrm>
                            <a:prstGeom prst="rect">
                              <a:avLst/>
                            </a:prstGeom>
                            <a:solidFill>
                              <a:srgbClr val="D5A6BD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6" name="Shape 16"/>
                          <wps:spPr>
                            <a:xfrm>
                              <a:off x="6799900" y="2093350"/>
                              <a:ext cx="1410300" cy="86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Cross-self-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attention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/>
                        <wps:cNvPr id="17" name="Shape 17"/>
                        <wps:spPr>
                          <a:xfrm>
                            <a:off x="6684875" y="4613975"/>
                            <a:ext cx="1640400" cy="865800"/>
                          </a:xfrm>
                          <a:prstGeom prst="rect">
                            <a:avLst/>
                          </a:prstGeom>
                          <a:solidFill>
                            <a:srgbClr val="D5A6B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Self-masked-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attention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5506775" y="235250"/>
                            <a:ext cx="364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-5400000">
                            <a:off x="7312750" y="3594275"/>
                            <a:ext cx="385200" cy="600"/>
                          </a:xfrm>
                          <a:prstGeom prst="bentConnector3">
                            <a:avLst>
                              <a:gd fmla="val 50018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693250" y="3787175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 &amp; Norm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7292075" y="4400375"/>
                            <a:ext cx="426600" cy="6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693850" y="1830538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 &amp; Norm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7352950" y="2383038"/>
                            <a:ext cx="305400" cy="600"/>
                          </a:xfrm>
                          <a:prstGeom prst="bentConnector3">
                            <a:avLst>
                              <a:gd fmla="val 49984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7264000" y="6070850"/>
                            <a:ext cx="672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6d9eeb"/>
                                  <w:sz w:val="34"/>
                                  <w:vertAlign w:val="baseline"/>
                                </w:rPr>
                                <w:t xml:space="preserve">Z_k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6694150" y="1125025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Feed Forward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7353250" y="1677538"/>
                            <a:ext cx="305400" cy="600"/>
                          </a:xfrm>
                          <a:prstGeom prst="bentConnector3">
                            <a:avLst>
                              <a:gd fmla="val 49986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6694150" y="499525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 &amp; Norm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7393600" y="1012075"/>
                            <a:ext cx="225300" cy="6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3966975" y="393325"/>
                            <a:ext cx="2068500" cy="6126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b45f06"/>
                                  <w:sz w:val="60"/>
                                  <w:vertAlign w:val="baseline"/>
                                </w:rPr>
                                <w:t xml:space="preserve">de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b45f06"/>
                                  <w:sz w:val="60"/>
                                  <w:vertAlign w:val="baseline"/>
                                </w:rPr>
                                <w:t xml:space="preserve">coder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83625" y="2695413"/>
                            <a:ext cx="2303700" cy="1182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549175" y="2813275"/>
                            <a:ext cx="217260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4"/>
                                  <w:vertAlign w:val="baseline"/>
                                </w:rPr>
                                <w:t xml:space="preserve">Encoder stocks Tf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483625" y="1252025"/>
                            <a:ext cx="2303700" cy="1182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549175" y="1414625"/>
                            <a:ext cx="217260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4"/>
                                  <w:vertAlign w:val="baseline"/>
                                </w:rPr>
                                <w:t xml:space="preserve">Encoder stocks Tf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83625" y="4138788"/>
                            <a:ext cx="2303700" cy="1182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549175" y="4301388"/>
                            <a:ext cx="217260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4"/>
                                  <w:vertAlign w:val="baseline"/>
                                </w:rPr>
                                <w:t xml:space="preserve">Encoder stocks Tf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87325" y="2300988"/>
                            <a:ext cx="1197900" cy="2429100"/>
                          </a:xfrm>
                          <a:prstGeom prst="bentConnector3">
                            <a:avLst>
                              <a:gd fmla="val 50005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87325" y="1843325"/>
                            <a:ext cx="1197900" cy="457800"/>
                          </a:xfrm>
                          <a:prstGeom prst="bentConnector3">
                            <a:avLst>
                              <a:gd fmla="val 50005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87325" y="2301213"/>
                            <a:ext cx="1197900" cy="985500"/>
                          </a:xfrm>
                          <a:prstGeom prst="bentConnector3">
                            <a:avLst>
                              <a:gd fmla="val 50005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3985338" y="1994775"/>
                            <a:ext cx="1035300" cy="6126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Feed Forward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020638" y="2301075"/>
                            <a:ext cx="1664400" cy="667800"/>
                          </a:xfrm>
                          <a:prstGeom prst="bentConnector3">
                            <a:avLst>
                              <a:gd fmla="val 50004" name="adj1"/>
                            </a:avLst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5275563" y="2481025"/>
                            <a:ext cx="921900" cy="1897500"/>
                          </a:xfrm>
                          <a:prstGeom prst="bentConnector2">
                            <a:avLst/>
                          </a:prstGeom>
                          <a:noFill/>
                          <a:ln cap="flat" cmpd="sng" w="76200">
                            <a:solidFill>
                              <a:srgbClr val="A4C2F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971550</wp:posOffset>
                </wp:positionV>
                <wp:extent cx="4129088" cy="2981110"/>
                <wp:effectExtent b="0" l="0" r="0" t="0"/>
                <wp:wrapSquare wrapText="bothSides" distB="114300" distT="114300" distL="114300" distR="11430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9088" cy="2981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V2:</w:t>
        <w:br w:type="textWrapping"/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14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Problème potentiel à surmonter: </w:t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modèle qui essaie de copier les données précédentes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Prendre en compte les risques</w:t>
      </w:r>
    </w:p>
    <w:p w:rsidR="00000000" w:rsidDel="00000000" w:rsidP="00000000" w:rsidRDefault="00000000" w:rsidRPr="00000000" w14:paraId="0000005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Outils d’analyse de donnée:</w:t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Seaborn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Bokeh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Matplotlib</w:t>
      </w:r>
    </w:p>
    <w:p w:rsidR="00000000" w:rsidDel="00000000" w:rsidP="00000000" w:rsidRDefault="00000000" w:rsidRPr="00000000" w14:paraId="0000005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Récupération des news/sentiment 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: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https://finnhub.io/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https://finnhub.io/docs/api/company-news</w:t>
        </w:r>
      </w:hyperlink>
      <w:r w:rsidDel="00000000" w:rsidR="00000000" w:rsidRPr="00000000">
        <w:rPr>
          <w:sz w:val="24"/>
          <w:szCs w:val="24"/>
          <w:rtl w:val="0"/>
        </w:rPr>
        <w:t xml:space="preserve"> (SYMBOL)</w:t>
      </w:r>
    </w:p>
    <w:p w:rsidR="00000000" w:rsidDel="00000000" w:rsidP="00000000" w:rsidRDefault="00000000" w:rsidRPr="00000000" w14:paraId="0000005E">
      <w:pPr>
        <w:jc w:val="left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https://finnhub.io/docs/api/market-news</w:t>
        </w:r>
      </w:hyperlink>
      <w:r w:rsidDel="00000000" w:rsidR="00000000" w:rsidRPr="00000000">
        <w:rPr>
          <w:sz w:val="24"/>
          <w:szCs w:val="24"/>
          <w:rtl w:val="0"/>
        </w:rPr>
        <w:t xml:space="preserve"> (MARKET NEWS)</w:t>
      </w:r>
    </w:p>
    <w:p w:rsidR="00000000" w:rsidDel="00000000" w:rsidP="00000000" w:rsidRDefault="00000000" w:rsidRPr="00000000" w14:paraId="0000005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calcul : Sentiment par Finnhub </w:t>
      </w:r>
      <w:r w:rsidDel="00000000" w:rsidR="00000000" w:rsidRPr="00000000">
        <w:rPr>
          <w:b w:val="1"/>
          <w:bCs w:val="1"/>
          <w:color w:val="242424"/>
          <w:sz w:val="26"/>
          <w:szCs w:val="26"/>
          <w:rtl w:val="0"/>
        </w:rPr>
        <w:t xml:space="preserve">Monthly Share Purchase Ratio (MSPR)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https://medium.com/@stock-api/finnhub-insiders-sentiment-analysis-cc43f9f64b3a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Récupération des événements mondiaux depuis 1976 : </w:t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https://www.gdeltproject.org/#downloading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shd w:fill="fafafa" w:val="clear"/>
          <w:rtl w:val="0"/>
        </w:rPr>
        <w:t xml:space="preserve">problème :  A single year of the GDELT GKG totals 2.5TB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Donc utilisation de google bigquery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https://console.cloud.google.com/bigquery?project=news-market-bot&amp;supportedpurview=project&amp;ws=!1m0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faire attention ça va vite : 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76663" cy="210110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101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54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rFonts w:ascii="Courier New" w:cs="Courier New" w:eastAsia="Courier New" w:hAnsi="Courier New"/>
          <w:color w:val="e8eaed"/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 Exemple résultat requête : 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000000" w:val="clear"/>
        <w:spacing w:line="320" w:lineRule="auto"/>
        <w:rPr>
          <w:rFonts w:ascii="Courier New" w:cs="Courier New" w:eastAsia="Courier New" w:hAnsi="Courier New"/>
          <w:color w:val="e8ea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"20240114231500"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000000" w:val="clear"/>
        <w:spacing w:line="320" w:lineRule="auto"/>
        <w:rPr>
          <w:rFonts w:ascii="Courier New" w:cs="Courier New" w:eastAsia="Courier New" w:hAnsi="Courier New"/>
          <w:color w:val="e8ea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"http://s2.aleqt.com/11053/"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000000" w:val="clear"/>
        <w:spacing w:line="320" w:lineRule="auto"/>
        <w:rPr>
          <w:rFonts w:ascii="Courier New" w:cs="Courier New" w:eastAsia="Courier New" w:hAnsi="Courier New"/>
          <w:color w:val="e8ea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"V2Tone"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"-0.720288115246098,3.1812725090036,3.9015606242497,7.0828331332533,20.7082833133253,0.78031212484994,1580"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000000" w:val="clear"/>
        <w:spacing w:line="320" w:lineRule="auto"/>
        <w:rPr>
          <w:rFonts w:ascii="Courier New" w:cs="Courier New" w:eastAsia="Courier New" w:hAnsi="Courier New"/>
          <w:color w:val="e8ea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"V2Organizations"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"Microsoft,4930;Microsoft,5130;Microsoft,5347;Microsoft,5599;Microsoft,6186;Microsoft,6367;Microsoft,6665;Microsoft,7069;Microsoft,7574;World Bank,958;United States,3809;United States,9842;Company Microsoft,6186;Company Microsoft,6665;Apple Inc,6853;International Monetary Fund,932;I Center,3730;Technology Microsoft,4930;Bank Barclays,7218"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000000" w:val="clear"/>
        <w:spacing w:line="32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"V2Themes"</w:t>
      </w: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V_OIL,1354;ENV_OIL,1418;ENV_OIL,1624;ENV_OIL,1677;SOC_POLARIZED,74;USPEC_UNCERTAINTY1,74;TAX_ECON_PRICE,1631;TAX_FNCACT_ACTOR,185;WB_1150_VOLATILITY,1620;WB_1104_MACROECONOMIC_VULNERABILITY_AND_DEBT,1620;TAX_FNCACT_ANALYST,8224;EPU_POLICY_SPENDING,8860;ALLIANCE,1343;MEDIA_MSM,566;MEDIA_MSM,6484;MEDIA_MSM,7692;GENERAL_GOVERNMENT,5674;EPU_POLICY_GOVERNMENT,5674;ECON_DEVELOPMENTORGS_WORLD_BANK,958;EPU_ECONOMY,367;EPU_ECONOMY,577;EPU_ECONOMY,4842;EPU_ECONOMY,6089;EPU_ECONOMY,6495;EPU_ECONOMY,8206;EPU_ECONOMY,8641;EPU_ECONOMY,9054;EPU_ECONOMY,9271;EPU_ECONOMY,10471;EPU_ECONOMY_HISTORIC,367;EPU_ECONOMY_HISTORIC,577;EPU_ECONOMY_HISTORIC,4842;EPU_ECONOMY_HISTORIC,6089;EPU_ECONOMY_HISTORIC,6495;EPU_ECONOMY_HISTORIC,8206;EPU_ECONOMY_HISTORIC,8641;EPU_ECONOMY_HISTORIC,9054;EPU_ECONOMY_HISTORIC,9271;EPU_ECONOMY_HISTORIC,10471;TAX_FNCACT_TRADERS,3231;ARMEDCONFLICT,8189;EPU_CATS_NATIONAL_SECURITY,8189;ECON_INFLATION,8880;ECON_INFLATION,10314;ECON_INFLATION,10538;ECON_INFLATION,10689;WB_442_INFLATION,8880;WB_442_INFLATION,10314;WB_442_INFLATION,10538;WB_442_INFLATION,10689;AUSTERITY,8431;WB_1074_FISCAL_CONTRACTION,8431;WB_1070_ECONOMIC_GROWTH_POLICY,8431;WB_471_ECONOMIC_GROWTH,8431;WB_1072_FISCAL_POLICY_AND_GROWTH,8431;TAX_WORLDLANGUAGES_COMOROS,10944;UNGP_FORESTS_RIVERS_OCEANS,9128;TAX_RELIGION_ISLAMIC,10920;TAX_ETHNICITY_CHINESE,10121;TAX_WORLDLANGUAGES_CHINESE,10121;SOVEREIGNTY,3937;WB_2433_CONFLICT_AND_VIOLENCE,9200;WB_2433_CONFLICT_AND_VIOLENCE,9337;WB_2432_FRAGILITY_CONFLICT_AND_VIOLENCE,9200;WB_2432_FRAGILITY_CONFLICT_AND_VIOLENCE,9337;WB_1921_PRIVATE_SECTOR_DEVELOPMENT,6024;WB_346_COMPETITIVE_INDUSTRIES,6024;WB_818_INDUSTRY_POLICY_AND_REAL_SECTORS,6024;WB_1281_MANUFACTURING,6024;ECON_OILPRICE,1631;USPEC_POLICY1,292;EPU_POLICY_BUDGET,292;TAX_FNCACT_WOMEN,10836;ECON_STOCKMARKET,2041;EPU_CATS_MIGRATION_FEAR_FEAR,8059;TAX_FNCACT_PRESIDENT,1526;TAX_FNCACT_PRESIDENT,3340;TAX_FNCACT_PRESIDENT,4145;TAX_FNCACT_PRESIDENT,9876;TAX_FNCACT_PRESIDENT,10889;USPEC_POLITICS_GENERAL1,1526;USPEC_POLITICS_GENERAL1,3340;USPEC_POLITICS_GENERAL1,4145;USPEC_POLITICS_GENERAL1,9876;USPEC_POLITICS_GENERAL1,10889;TAX_FNCACT_OFFICIAL,624;WB_698_TRADE,2475;TAX_WORLDLANGUAGES_LATIN,9021;TAX_WORLDLANGUAGES_LATIN,9083;TAX_WORLDLANGUAGES_LATIN,9400;TAX_WORLDLANGUAGES_LATIN,10279;WB_856_WAGES,8757;WB_1654_ACTIVE_LABOR_MARKET_POLICIES,8757;WB_855_LABOR_MARKETS,8757;WB_697_SOCIAL_PROTECTION_AND_LABOR,8757;PUBLIC_TRANSPORT,4087;TAX_FNCACT_CHILDREN,7971;ECON_DEVELOPMENTORGS_INTERNATIONAL_MONETARY_FUND,932;TAX_FNCACT_WHOLESALER,2764;ECON_DEBT,8335;ECON_DEBT,8584;ECON_DEBT,8619;ECON_DEBT,9520;WB_450_DEBT,8335;WB_450_DEBT,8584;WB_450_DEBT,8619;WB_450_DEBT,9520;ELECTION,8465;AFFECT,9244;TAX_ETHNICITY_VENEZUELAN,10585;WB_286_TELECOMMUNICATIONS_AND_BROADBAND_ACCESS,3029;WB_133_INFORMATION_AND_COMMUNICATION_TECHNOLOGIES,3029;TAX_WORLDLANGUAGES_RUSSIA,3375;TAX_WORLDLANGUAGES_RUSSIA,3836;TAX_WORLDLANGUAGES_RUSSIA,3866;TAX_WORLDLANGUAGES_RUSSIA,4591;TAX_WORLDLANGUAGES_RUSSIA,4764;KIDNAP,1609;LEADER,255;TAX_FNCACT_LEGISLATORS,255;TAX_ETHNICITY_RUSSIAN,3492;TAX_ETHNICITY_RUSSIAN,3677;TAX_ETHNICITY_RUSSIAN,4153;TAX_ETHNICITY_RUSSIAN,4200;TAX_ETHNICITY_RUSSIAN,4344;TAX_WORLDLANGUAGES_RUSSIAN,3492;TAX_WORLDLANGUAGES_RUSSIAN,3677;TAX_WORLDLANGUAGES_RUSSIAN,4153;TAX_WORLDLANGUAGES_RUSSIAN,4200;TAX_WORLDLANGUAGES_RUSSIAN,4344;"</w:t>
      </w:r>
    </w:p>
    <w:p w:rsidR="00000000" w:rsidDel="00000000" w:rsidP="00000000" w:rsidRDefault="00000000" w:rsidRPr="00000000" w14:paraId="00000070">
      <w:pPr>
        <w:shd w:fill="000000" w:val="clear"/>
        <w:spacing w:line="320" w:lineRule="auto"/>
        <w:rPr>
          <w:rFonts w:ascii="Courier New" w:cs="Courier New" w:eastAsia="Courier New" w:hAnsi="Courier New"/>
          <w:color w:val="e8ea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8eae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gratuite conservée : </w:t>
      </w:r>
    </w:p>
    <w:p w:rsidR="00000000" w:rsidDel="00000000" w:rsidP="00000000" w:rsidRDefault="00000000" w:rsidRPr="00000000" w14:paraId="0000007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Télécharger les données brutes et </w:t>
      </w:r>
    </w:p>
    <w:p w:rsidR="00000000" w:rsidDel="00000000" w:rsidP="00000000" w:rsidRDefault="00000000" w:rsidRPr="00000000" w14:paraId="0000007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http://data.gdeltproject.org/documentation/GDELT-Data_Format_Codebook.pdf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5094t3k5x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Récupération des données GDELT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Deux façons d'y accéder 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BigQuery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gdelt-bq.gdeltv2.gkg_partitioned</w:t>
      </w:r>
      <w:r w:rsidDel="00000000" w:rsidR="00000000" w:rsidRPr="00000000">
        <w:rPr>
          <w:sz w:val="24"/>
          <w:szCs w:val="24"/>
          <w:rtl w:val="0"/>
        </w:rPr>
        <w:t xml:space="preserve">) — pratique pour des requêtes SQL, mais facturé au volume scanné. Utile seulement pour la période antérieure à 2015 (pas couverte par les fichiers bruts), avec ces règles pour limiter la facture : filtrer sur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_PARTITIONTIME</w:t>
      </w:r>
      <w:r w:rsidDel="00000000" w:rsidR="00000000" w:rsidRPr="00000000">
        <w:rPr>
          <w:sz w:val="24"/>
          <w:szCs w:val="24"/>
          <w:rtl w:val="0"/>
        </w:rPr>
        <w:t xml:space="preserve">, ne sélectionner que les colonnes utiles, exporter le résultat une seule fois vers GCS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 DATA</w:t>
      </w:r>
      <w:r w:rsidDel="00000000" w:rsidR="00000000" w:rsidRPr="00000000">
        <w:rPr>
          <w:sz w:val="24"/>
          <w:szCs w:val="24"/>
          <w:rtl w:val="0"/>
        </w:rPr>
        <w:t xml:space="preserve">) puis retraiter localement sans repayer.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Fichiers bruts gratuits</w:t>
      </w:r>
      <w:r w:rsidDel="00000000" w:rsidR="00000000" w:rsidRPr="00000000">
        <w:rPr>
          <w:sz w:val="24"/>
          <w:szCs w:val="24"/>
          <w:rtl w:val="0"/>
        </w:rPr>
        <w:t xml:space="preserve"> (recommandé) — GDELT publie tout en clair, sans quota, sur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data.gdeltproject.org/gdeltv2/</w:t>
      </w:r>
      <w:r w:rsidDel="00000000" w:rsidR="00000000" w:rsidRPr="00000000">
        <w:rPr>
          <w:sz w:val="24"/>
          <w:szCs w:val="24"/>
          <w:rtl w:val="0"/>
        </w:rPr>
        <w:t xml:space="preserve">. Un CSV zippé par tranche de 15 minutes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{timestamp}.gkg.csv.zip</w:t>
      </w:r>
      <w:r w:rsidDel="00000000" w:rsidR="00000000" w:rsidRPr="00000000">
        <w:rPr>
          <w:sz w:val="24"/>
          <w:szCs w:val="24"/>
          <w:rtl w:val="0"/>
        </w:rPr>
        <w:t xml:space="preserve">), fiable à partir de 2015. La liste complète des fichiers disponibles est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masterfilelist.txt</w:t>
      </w:r>
      <w:r w:rsidDel="00000000" w:rsidR="00000000" w:rsidRPr="00000000">
        <w:rPr>
          <w:sz w:val="24"/>
          <w:szCs w:val="24"/>
          <w:rtl w:val="0"/>
        </w:rPr>
        <w:t xml:space="preserve">, et le dernier batch en date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lastupdate.txt</w:t>
      </w:r>
      <w:r w:rsidDel="00000000" w:rsidR="00000000" w:rsidRPr="00000000">
        <w:rPr>
          <w:sz w:val="24"/>
          <w:szCs w:val="24"/>
          <w:rtl w:val="0"/>
        </w:rPr>
        <w:t xml:space="preserve"> (utile pour le temps réel).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Mécanique de récupération 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Télécharger le zip par requête HTTP, l'extraire, parser le CSV avec pandas ou DuckDB.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Paralléliser les téléchargements avec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ThreadPoolExecutor</w:t>
      </w:r>
      <w:r w:rsidDel="00000000" w:rsidR="00000000" w:rsidRPr="00000000">
        <w:rPr>
          <w:sz w:val="24"/>
          <w:szCs w:val="24"/>
          <w:rtl w:val="0"/>
        </w:rPr>
        <w:t xml:space="preserve"> (I/O-bound, threads suffisent) — mais rester à 5-10 workers max pour ne pas surcharger le serveur public de GDELT.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Filtrer localement (gratuit, illimité) plutôt que de repayer une requête à chaque fois.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Contenu de chaque ligne récupérée 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— format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YYYYMMDDHHMMSS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V2Tone</w:t>
      </w:r>
      <w:r w:rsidDel="00000000" w:rsidR="00000000" w:rsidRPr="00000000">
        <w:rPr>
          <w:sz w:val="24"/>
          <w:szCs w:val="24"/>
          <w:rtl w:val="0"/>
        </w:rPr>
        <w:t xml:space="preserve"> — 7 valeurs séparées par virgules, la première étant le score de ton moyen à retenir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V2Organizations</w:t>
      </w:r>
      <w:r w:rsidDel="00000000" w:rsidR="00000000" w:rsidRPr="00000000">
        <w:rPr>
          <w:sz w:val="24"/>
          <w:szCs w:val="24"/>
          <w:rtl w:val="0"/>
        </w:rPr>
        <w:t xml:space="preserve"> — liste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nom,position_dans_le_texte;...</w:t>
      </w:r>
      <w:r w:rsidDel="00000000" w:rsidR="00000000" w:rsidRPr="00000000">
        <w:rPr>
          <w:sz w:val="24"/>
          <w:szCs w:val="24"/>
          <w:rtl w:val="0"/>
        </w:rPr>
        <w:t xml:space="preserve"> (la position sert à juger si l'entreprise est centrale ou juste mentionnée en passant)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V2Themes</w:t>
      </w:r>
      <w:r w:rsidDel="00000000" w:rsidR="00000000" w:rsidRPr="00000000">
        <w:rPr>
          <w:sz w:val="24"/>
          <w:szCs w:val="24"/>
          <w:rtl w:val="0"/>
        </w:rPr>
        <w:t xml:space="preserve"> — tags économiques normalisés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ECON_STOCKMARKET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ECON_EARNINGSREPORT</w:t>
      </w:r>
      <w:r w:rsidDel="00000000" w:rsidR="00000000" w:rsidRPr="00000000">
        <w:rPr>
          <w:sz w:val="24"/>
          <w:szCs w:val="24"/>
          <w:rtl w:val="0"/>
        </w:rPr>
        <w:t xml:space="preserve">, etc.) utiles pour filtrer le bruit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Limite à connaître</w:t>
      </w:r>
      <w:r w:rsidDel="00000000" w:rsidR="00000000" w:rsidRPr="00000000">
        <w:rPr>
          <w:sz w:val="24"/>
          <w:szCs w:val="24"/>
          <w:rtl w:val="0"/>
        </w:rPr>
        <w:t xml:space="preserve"> : GDELT ne fournit jamais le texte complet de l'article, seulement son URL et des métadonnées/score déjà calculés — pour le texte brut il faut fetcher l'URL soi-même (avec les problèmes de liens morts sur les vieux articles et de ToS des sites d'origine).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Pour le temps réel</w:t>
      </w:r>
      <w:r w:rsidDel="00000000" w:rsidR="00000000" w:rsidRPr="00000000">
        <w:rPr>
          <w:sz w:val="24"/>
          <w:szCs w:val="24"/>
          <w:rtl w:val="0"/>
        </w:rPr>
        <w:t xml:space="preserve"> : poller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lastupdate.txt</w:t>
      </w:r>
      <w:r w:rsidDel="00000000" w:rsidR="00000000" w:rsidRPr="00000000">
        <w:rPr>
          <w:sz w:val="24"/>
          <w:szCs w:val="24"/>
          <w:rtl w:val="0"/>
        </w:rPr>
        <w:t xml:space="preserve"> à intervalle régulier (ex: toutes les minutes) et ne traiter que les nouveaux batches — latence native de GDELT autour de 15 minutes.</w:t>
      </w:r>
    </w:p>
    <w:p w:rsidR="00000000" w:rsidDel="00000000" w:rsidP="00000000" w:rsidRDefault="00000000" w:rsidRPr="00000000" w14:paraId="0000008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@stock-api/finnhub-insiders-sentiment-analysis-cc43f9f64b3a" TargetMode="External"/><Relationship Id="rId22" Type="http://schemas.openxmlformats.org/officeDocument/2006/relationships/hyperlink" Target="https://console.cloud.google.com/bigquery?project=news-market-bot&amp;supportedpurview=project&amp;ws=!1m0" TargetMode="External"/><Relationship Id="rId21" Type="http://schemas.openxmlformats.org/officeDocument/2006/relationships/hyperlink" Target="https://www.gdeltproject.org/#downloading" TargetMode="External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1912.09363" TargetMode="External"/><Relationship Id="rId26" Type="http://schemas.openxmlformats.org/officeDocument/2006/relationships/header" Target="header1.xml"/><Relationship Id="rId25" Type="http://schemas.openxmlformats.org/officeDocument/2006/relationships/hyperlink" Target="http://data.gdeltproject.org/documentation/GDELT-Data_Format_Codebook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1706.03762" TargetMode="External"/><Relationship Id="rId7" Type="http://schemas.openxmlformats.org/officeDocument/2006/relationships/hyperlink" Target="https://lbourdois.github.io/blog/nlp/Transformer/" TargetMode="External"/><Relationship Id="rId8" Type="http://schemas.openxmlformats.org/officeDocument/2006/relationships/hyperlink" Target="https://www.youtube.com/watch?v=kCc8FmEb1nY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research.google/blog/a-decoder-only-foundation-model-for-time-series-forecasting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yperlink" Target="https://finnhub.io/" TargetMode="External"/><Relationship Id="rId16" Type="http://schemas.openxmlformats.org/officeDocument/2006/relationships/image" Target="media/image2.png"/><Relationship Id="rId19" Type="http://schemas.openxmlformats.org/officeDocument/2006/relationships/hyperlink" Target="https://finnhub.io/docs/api/market-news" TargetMode="External"/><Relationship Id="rId18" Type="http://schemas.openxmlformats.org/officeDocument/2006/relationships/hyperlink" Target="https://finnhub.io/docs/api/company-new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