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9lwv7or2j1v1" w:id="34"/>
      <w:bookmarkEnd w:id="34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/>
      </w:pPr>
      <w:bookmarkStart w:colFirst="0" w:colLast="0" w:name="_1hfrozerflnv" w:id="35"/>
      <w:bookmarkEnd w:id="35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19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19200"/>
                          <a:chOff x="701425" y="652850"/>
                          <a:chExt cx="8805525" cy="18624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19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k6g7qs1jw9e7" w:id="36"/>
      <w:bookmarkEnd w:id="36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vgrioks8nxjs" w:id="37"/>
      <w:bookmarkEnd w:id="37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7y2b9a2fc8at" w:id="38"/>
      <w:bookmarkEnd w:id="38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rPr/>
      </w:pPr>
      <w:bookmarkStart w:colFirst="0" w:colLast="0" w:name="_xlr6yx2lbclc" w:id="39"/>
      <w:bookmarkEnd w:id="39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1lle93qkbnk6" w:id="40"/>
      <w:bookmarkEnd w:id="40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3gtotzjin72k" w:id="41"/>
      <w:bookmarkEnd w:id="41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mru18zmoh0vn" w:id="42"/>
      <w:bookmarkEnd w:id="42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Function Overloading 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parameters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b6j9zd7pjsgr" w:id="43"/>
      <w:bookmarkEnd w:id="43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ni1z84i6jjs9" w:id="44"/>
      <w:bookmarkEnd w:id="44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qt75sjaci4ub" w:id="45"/>
      <w:bookmarkEnd w:id="45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