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B7A6" w14:textId="09FF43A5" w:rsidR="006874C6" w:rsidRDefault="006874C6" w:rsidP="006874C6">
      <w:pPr>
        <w:jc w:val="right"/>
      </w:pPr>
      <w:r>
        <w:t>April Key</w:t>
      </w:r>
      <w:r w:rsidRPr="006874C6">
        <w:t xml:space="preserve">, </w:t>
      </w:r>
      <w:r>
        <w:t>Eric East</w:t>
      </w:r>
      <w:r w:rsidRPr="006874C6">
        <w:t xml:space="preserve">, </w:t>
      </w:r>
      <w:r>
        <w:t>Markus Shipley</w:t>
      </w:r>
      <w:r w:rsidRPr="006874C6">
        <w:t>, M</w:t>
      </w:r>
      <w:r>
        <w:t>ary</w:t>
      </w:r>
      <w:r w:rsidRPr="006874C6">
        <w:t xml:space="preserve"> O</w:t>
      </w:r>
      <w:r>
        <w:t>laitan</w:t>
      </w:r>
    </w:p>
    <w:p w14:paraId="11659B93" w14:textId="08DDC8CD" w:rsidR="00283A06" w:rsidRDefault="006874C6" w:rsidP="006874C6">
      <w:pPr>
        <w:pStyle w:val="Heading1"/>
        <w:rPr>
          <w:b w:val="0"/>
        </w:rPr>
      </w:pPr>
      <w:r>
        <w:rPr>
          <w:b w:val="0"/>
        </w:rPr>
        <w:t>Group Project 1 Report: US Population Migration as Compared to Housing Affordability</w:t>
      </w:r>
    </w:p>
    <w:p w14:paraId="3F6D0809" w14:textId="2FAFC7AF" w:rsidR="006874C6" w:rsidRDefault="006874C6" w:rsidP="006874C6"/>
    <w:p w14:paraId="203A0B43" w14:textId="77777777" w:rsidR="0018104E" w:rsidRDefault="0018104E" w:rsidP="0018104E">
      <w:r>
        <w:t xml:space="preserve">Data sources: </w:t>
      </w:r>
    </w:p>
    <w:p w14:paraId="058C6469" w14:textId="516900FC" w:rsidR="0018104E" w:rsidRDefault="0018104E" w:rsidP="0018104E">
      <w:pPr>
        <w:pStyle w:val="ListParagraph"/>
        <w:numPr>
          <w:ilvl w:val="0"/>
          <w:numId w:val="2"/>
        </w:numPr>
      </w:pPr>
      <w:r>
        <w:t xml:space="preserve">US Census API </w:t>
      </w:r>
      <w:proofErr w:type="gramStart"/>
      <w:r>
        <w:t>5 year</w:t>
      </w:r>
      <w:proofErr w:type="gramEnd"/>
      <w:r>
        <w:t xml:space="preserve"> ACS 2014 and 2019</w:t>
      </w:r>
    </w:p>
    <w:p w14:paraId="4457A541" w14:textId="58DF4266" w:rsidR="0018104E" w:rsidRDefault="0018104E" w:rsidP="0018104E">
      <w:pPr>
        <w:pStyle w:val="ListParagraph"/>
        <w:numPr>
          <w:ilvl w:val="0"/>
          <w:numId w:val="2"/>
        </w:numPr>
      </w:pPr>
      <w:r>
        <w:t>Zip code to MSA location database</w:t>
      </w:r>
    </w:p>
    <w:p w14:paraId="0803358D" w14:textId="11B41F8F" w:rsidR="0018104E" w:rsidRDefault="0018104E" w:rsidP="0018104E">
      <w:pPr>
        <w:pStyle w:val="ListParagraph"/>
        <w:numPr>
          <w:ilvl w:val="0"/>
          <w:numId w:val="2"/>
        </w:numPr>
      </w:pPr>
      <w:r>
        <w:t>Census homeowner %, reported by MSA</w:t>
      </w:r>
    </w:p>
    <w:p w14:paraId="462B7BA7" w14:textId="64C64FFC" w:rsidR="0018104E" w:rsidRDefault="0018104E" w:rsidP="0018104E">
      <w:r>
        <w:t>Definitions:</w:t>
      </w:r>
    </w:p>
    <w:p w14:paraId="1572D24A" w14:textId="0E1692E1" w:rsidR="0018104E" w:rsidRDefault="0018104E" w:rsidP="0018104E">
      <w:pPr>
        <w:pStyle w:val="ListParagraph"/>
        <w:numPr>
          <w:ilvl w:val="0"/>
          <w:numId w:val="3"/>
        </w:numPr>
      </w:pPr>
      <w:r>
        <w:t>MSA: Metropolitan Statistical Areas</w:t>
      </w:r>
      <w:r w:rsidR="00437653">
        <w:t>, encompasses city borders and surrounding suburbs, as well as closely economically, socially, and politically tied adjacent areas</w:t>
      </w:r>
    </w:p>
    <w:p w14:paraId="26F75D47" w14:textId="1350950D" w:rsidR="0018104E" w:rsidRDefault="0018104E" w:rsidP="0018104E">
      <w:pPr>
        <w:pStyle w:val="ListParagraph"/>
        <w:numPr>
          <w:ilvl w:val="0"/>
          <w:numId w:val="3"/>
        </w:numPr>
      </w:pPr>
      <w:r>
        <w:t>Affordability Index: Median Household Income divided by the weighted average of Median Gross Rent and Median Monthly Homeowner Costs</w:t>
      </w:r>
    </w:p>
    <w:p w14:paraId="3093A4A9" w14:textId="20394E4F" w:rsidR="006874C6" w:rsidRDefault="006874C6" w:rsidP="00C26BD0">
      <w:pPr>
        <w:rPr>
          <w:b/>
          <w:bCs/>
          <w:sz w:val="24"/>
          <w:szCs w:val="24"/>
        </w:rPr>
      </w:pPr>
      <w:r>
        <w:rPr>
          <w:b/>
          <w:bCs/>
          <w:sz w:val="24"/>
          <w:szCs w:val="24"/>
        </w:rPr>
        <w:t xml:space="preserve">Question 1: </w:t>
      </w:r>
      <w:r w:rsidR="00C26BD0" w:rsidRPr="00C26BD0">
        <w:rPr>
          <w:b/>
          <w:bCs/>
          <w:sz w:val="24"/>
          <w:szCs w:val="24"/>
        </w:rPr>
        <w:t>What are the fastest growing MSAs in the US based on population growth?</w:t>
      </w:r>
    </w:p>
    <w:p w14:paraId="517DEEA3" w14:textId="3F123DB3" w:rsidR="00C26BD0" w:rsidRDefault="000A6C29" w:rsidP="00C26BD0">
      <w:pPr>
        <w:rPr>
          <w:sz w:val="24"/>
          <w:szCs w:val="24"/>
        </w:rPr>
      </w:pPr>
      <w:r>
        <w:rPr>
          <w:sz w:val="24"/>
          <w:szCs w:val="24"/>
        </w:rPr>
        <w:t>The five fastest growing MSAs, by percentage, among our data set are:</w:t>
      </w:r>
    </w:p>
    <w:p w14:paraId="39D5DE1C" w14:textId="6B6F1111" w:rsidR="000A6C29" w:rsidRDefault="000A6C29" w:rsidP="000A6C29">
      <w:pPr>
        <w:pStyle w:val="ListParagraph"/>
        <w:numPr>
          <w:ilvl w:val="0"/>
          <w:numId w:val="1"/>
        </w:numPr>
        <w:rPr>
          <w:sz w:val="24"/>
          <w:szCs w:val="24"/>
        </w:rPr>
      </w:pPr>
      <w:r>
        <w:rPr>
          <w:sz w:val="24"/>
          <w:szCs w:val="24"/>
        </w:rPr>
        <w:t>Austin</w:t>
      </w:r>
      <w:r w:rsidR="00E30C6B">
        <w:rPr>
          <w:sz w:val="24"/>
          <w:szCs w:val="24"/>
        </w:rPr>
        <w:t>, TX: 15.0%</w:t>
      </w:r>
    </w:p>
    <w:p w14:paraId="492ABCAC" w14:textId="4DD021FE" w:rsidR="000A6C29" w:rsidRDefault="000A6C29" w:rsidP="000A6C29">
      <w:pPr>
        <w:pStyle w:val="ListParagraph"/>
        <w:numPr>
          <w:ilvl w:val="0"/>
          <w:numId w:val="1"/>
        </w:numPr>
        <w:rPr>
          <w:sz w:val="24"/>
          <w:szCs w:val="24"/>
        </w:rPr>
      </w:pPr>
      <w:r>
        <w:rPr>
          <w:sz w:val="24"/>
          <w:szCs w:val="24"/>
        </w:rPr>
        <w:t>Orlando</w:t>
      </w:r>
      <w:r w:rsidR="00E30C6B">
        <w:rPr>
          <w:sz w:val="24"/>
          <w:szCs w:val="24"/>
        </w:rPr>
        <w:t>, FL: 12.5%</w:t>
      </w:r>
    </w:p>
    <w:p w14:paraId="205FCC45" w14:textId="652EFC23" w:rsidR="000A6C29" w:rsidRDefault="000A6C29" w:rsidP="000A6C29">
      <w:pPr>
        <w:pStyle w:val="ListParagraph"/>
        <w:numPr>
          <w:ilvl w:val="0"/>
          <w:numId w:val="1"/>
        </w:numPr>
        <w:rPr>
          <w:sz w:val="24"/>
          <w:szCs w:val="24"/>
        </w:rPr>
      </w:pPr>
      <w:r>
        <w:rPr>
          <w:sz w:val="24"/>
          <w:szCs w:val="24"/>
        </w:rPr>
        <w:t>Raleigh</w:t>
      </w:r>
      <w:r w:rsidR="00E30C6B">
        <w:rPr>
          <w:sz w:val="24"/>
          <w:szCs w:val="24"/>
        </w:rPr>
        <w:t>, NC: 11.1%</w:t>
      </w:r>
    </w:p>
    <w:p w14:paraId="67A5299E" w14:textId="5A46BD74" w:rsidR="000A6C29" w:rsidRDefault="000A6C29" w:rsidP="000A6C29">
      <w:pPr>
        <w:pStyle w:val="ListParagraph"/>
        <w:numPr>
          <w:ilvl w:val="0"/>
          <w:numId w:val="1"/>
        </w:numPr>
        <w:rPr>
          <w:sz w:val="24"/>
          <w:szCs w:val="24"/>
        </w:rPr>
      </w:pPr>
      <w:r>
        <w:rPr>
          <w:sz w:val="24"/>
          <w:szCs w:val="24"/>
        </w:rPr>
        <w:t>Houston</w:t>
      </w:r>
      <w:r w:rsidR="00E30C6B">
        <w:rPr>
          <w:sz w:val="24"/>
          <w:szCs w:val="24"/>
        </w:rPr>
        <w:t>, TX: 10.7%</w:t>
      </w:r>
    </w:p>
    <w:p w14:paraId="10338BA8" w14:textId="79EC4F9A" w:rsidR="000A6C29" w:rsidRDefault="000A6C29" w:rsidP="000A6C29">
      <w:pPr>
        <w:pStyle w:val="ListParagraph"/>
        <w:numPr>
          <w:ilvl w:val="0"/>
          <w:numId w:val="1"/>
        </w:numPr>
        <w:rPr>
          <w:sz w:val="24"/>
          <w:szCs w:val="24"/>
        </w:rPr>
      </w:pPr>
      <w:r>
        <w:rPr>
          <w:sz w:val="24"/>
          <w:szCs w:val="24"/>
        </w:rPr>
        <w:t>San Antonio</w:t>
      </w:r>
      <w:r w:rsidR="00E30C6B">
        <w:rPr>
          <w:sz w:val="24"/>
          <w:szCs w:val="24"/>
        </w:rPr>
        <w:t>, TX: 10.4%</w:t>
      </w:r>
    </w:p>
    <w:p w14:paraId="429D5EC0" w14:textId="3F104482" w:rsidR="00A933B3" w:rsidRDefault="000A6C29" w:rsidP="000A6C29">
      <w:pPr>
        <w:rPr>
          <w:sz w:val="24"/>
          <w:szCs w:val="24"/>
        </w:rPr>
      </w:pPr>
      <w:r>
        <w:rPr>
          <w:sz w:val="24"/>
          <w:szCs w:val="24"/>
        </w:rPr>
        <w:t>We also wanted to look at Atlanta specifically, which was 15</w:t>
      </w:r>
      <w:r w:rsidRPr="000A6C29">
        <w:rPr>
          <w:sz w:val="24"/>
          <w:szCs w:val="24"/>
          <w:vertAlign w:val="superscript"/>
        </w:rPr>
        <w:t>th</w:t>
      </w:r>
      <w:r>
        <w:rPr>
          <w:sz w:val="24"/>
          <w:szCs w:val="24"/>
        </w:rPr>
        <w:t xml:space="preserve"> by percentage</w:t>
      </w:r>
      <w:r w:rsidR="00E30C6B">
        <w:rPr>
          <w:sz w:val="24"/>
          <w:szCs w:val="24"/>
        </w:rPr>
        <w:t xml:space="preserve"> (7.5%)</w:t>
      </w:r>
      <w:r>
        <w:rPr>
          <w:sz w:val="24"/>
          <w:szCs w:val="24"/>
        </w:rPr>
        <w:t>, though it was 4</w:t>
      </w:r>
      <w:r w:rsidRPr="000A6C29">
        <w:rPr>
          <w:sz w:val="24"/>
          <w:szCs w:val="24"/>
          <w:vertAlign w:val="superscript"/>
        </w:rPr>
        <w:t>th</w:t>
      </w:r>
      <w:r>
        <w:rPr>
          <w:sz w:val="24"/>
          <w:szCs w:val="24"/>
        </w:rPr>
        <w:t xml:space="preserve"> in terms of populati</w:t>
      </w:r>
      <w:r w:rsidR="00A933B3">
        <w:rPr>
          <w:sz w:val="24"/>
          <w:szCs w:val="24"/>
        </w:rPr>
        <w:t>on growth by persons.</w:t>
      </w:r>
    </w:p>
    <w:p w14:paraId="6C24CF2E" w14:textId="130D876D" w:rsidR="00E30C6B" w:rsidRDefault="00E30C6B" w:rsidP="000A6C29">
      <w:pPr>
        <w:rPr>
          <w:sz w:val="24"/>
          <w:szCs w:val="24"/>
        </w:rPr>
      </w:pPr>
      <w:r>
        <w:rPr>
          <w:sz w:val="24"/>
          <w:szCs w:val="24"/>
        </w:rPr>
        <w:t>One unexpected conclusion was seeing the rapid growth in Texas, with 3 of the top 5 growing MSAs in our data set.</w:t>
      </w:r>
    </w:p>
    <w:p w14:paraId="0AC89EF3" w14:textId="4D869057" w:rsidR="00437653" w:rsidRDefault="00437653" w:rsidP="000A6C29">
      <w:pPr>
        <w:rPr>
          <w:sz w:val="24"/>
          <w:szCs w:val="24"/>
        </w:rPr>
      </w:pPr>
      <w:r>
        <w:rPr>
          <w:sz w:val="24"/>
          <w:szCs w:val="24"/>
        </w:rPr>
        <w:br w:type="page"/>
      </w:r>
    </w:p>
    <w:p w14:paraId="6BDDB486" w14:textId="062A6482" w:rsidR="007363E0" w:rsidRDefault="00A933B3" w:rsidP="000A6C29">
      <w:pPr>
        <w:rPr>
          <w:sz w:val="24"/>
          <w:szCs w:val="24"/>
        </w:rPr>
      </w:pPr>
      <w:r>
        <w:rPr>
          <w:sz w:val="24"/>
          <w:szCs w:val="24"/>
        </w:rPr>
        <w:lastRenderedPageBreak/>
        <w:t xml:space="preserve">The following figure shows the full set of MSAs by </w:t>
      </w:r>
      <w:r w:rsidR="007363E0">
        <w:rPr>
          <w:sz w:val="24"/>
          <w:szCs w:val="24"/>
        </w:rPr>
        <w:t xml:space="preserve">percentage </w:t>
      </w:r>
      <w:r>
        <w:rPr>
          <w:sz w:val="24"/>
          <w:szCs w:val="24"/>
        </w:rPr>
        <w:t>population</w:t>
      </w:r>
      <w:r w:rsidR="007363E0">
        <w:rPr>
          <w:sz w:val="24"/>
          <w:szCs w:val="24"/>
        </w:rPr>
        <w:t xml:space="preserve"> growth 2014 – 2019 (rolling 5 year):</w:t>
      </w:r>
    </w:p>
    <w:p w14:paraId="050717B7" w14:textId="1BBD7AE5" w:rsidR="000A6C29" w:rsidRDefault="007363E0" w:rsidP="000A6C29">
      <w:pPr>
        <w:rPr>
          <w:sz w:val="24"/>
          <w:szCs w:val="24"/>
        </w:rPr>
      </w:pPr>
      <w:r>
        <w:rPr>
          <w:noProof/>
        </w:rPr>
        <w:drawing>
          <wp:inline distT="0" distB="0" distL="0" distR="0" wp14:anchorId="59FE61D0" wp14:editId="4E4ED4AE">
            <wp:extent cx="5943600" cy="29718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0FF826" w14:textId="77777777" w:rsidR="0018104E" w:rsidRDefault="0018104E" w:rsidP="000A6C29">
      <w:pPr>
        <w:rPr>
          <w:sz w:val="24"/>
          <w:szCs w:val="24"/>
        </w:rPr>
      </w:pPr>
    </w:p>
    <w:p w14:paraId="4F20620E" w14:textId="583E7B60" w:rsidR="007363E0" w:rsidRDefault="007363E0" w:rsidP="000A6C29">
      <w:pPr>
        <w:rPr>
          <w:sz w:val="24"/>
          <w:szCs w:val="24"/>
        </w:rPr>
      </w:pPr>
      <w:r>
        <w:rPr>
          <w:sz w:val="24"/>
          <w:szCs w:val="24"/>
        </w:rPr>
        <w:t>The fastest growing specifically (as compared to the slowest growing for reference):</w:t>
      </w:r>
    </w:p>
    <w:p w14:paraId="2035F10D" w14:textId="6016C628" w:rsidR="007363E0" w:rsidRPr="000A6C29" w:rsidRDefault="007363E0" w:rsidP="000A6C29">
      <w:pPr>
        <w:rPr>
          <w:sz w:val="24"/>
          <w:szCs w:val="24"/>
        </w:rPr>
      </w:pPr>
      <w:r>
        <w:rPr>
          <w:noProof/>
        </w:rPr>
        <w:drawing>
          <wp:inline distT="0" distB="0" distL="0" distR="0" wp14:anchorId="2D422F98" wp14:editId="1C5C868C">
            <wp:extent cx="5943600" cy="2600960"/>
            <wp:effectExtent l="0" t="0" r="0" b="889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960"/>
                    </a:xfrm>
                    <a:prstGeom prst="rect">
                      <a:avLst/>
                    </a:prstGeom>
                    <a:noFill/>
                    <a:ln>
                      <a:noFill/>
                    </a:ln>
                  </pic:spPr>
                </pic:pic>
              </a:graphicData>
            </a:graphic>
          </wp:inline>
        </w:drawing>
      </w:r>
    </w:p>
    <w:p w14:paraId="25842801" w14:textId="59FF7039" w:rsidR="0039051C" w:rsidRDefault="0039051C" w:rsidP="00C26BD0">
      <w:pPr>
        <w:rPr>
          <w:b/>
          <w:bCs/>
          <w:sz w:val="24"/>
          <w:szCs w:val="24"/>
        </w:rPr>
      </w:pPr>
      <w:r>
        <w:rPr>
          <w:b/>
          <w:bCs/>
          <w:sz w:val="24"/>
          <w:szCs w:val="24"/>
        </w:rPr>
        <w:br w:type="page"/>
      </w:r>
    </w:p>
    <w:p w14:paraId="70ADEEE6" w14:textId="2A73A49D" w:rsidR="0039051C" w:rsidRDefault="0039051C" w:rsidP="00C26BD0">
      <w:pPr>
        <w:rPr>
          <w:sz w:val="24"/>
          <w:szCs w:val="24"/>
        </w:rPr>
      </w:pPr>
      <w:r>
        <w:rPr>
          <w:sz w:val="24"/>
          <w:szCs w:val="24"/>
        </w:rPr>
        <w:lastRenderedPageBreak/>
        <w:t>In looking at the fastest and slowest growing MSAs in our data set we saw a clear trend of migration from the northeast and Midwest to cities in the south (and Texas in particular):</w:t>
      </w:r>
    </w:p>
    <w:p w14:paraId="317ED901" w14:textId="326DD891" w:rsidR="0039051C" w:rsidRPr="0039051C" w:rsidRDefault="0039051C" w:rsidP="00C26BD0">
      <w:pPr>
        <w:rPr>
          <w:sz w:val="24"/>
          <w:szCs w:val="24"/>
        </w:rPr>
      </w:pPr>
      <w:r>
        <w:rPr>
          <w:noProof/>
        </w:rPr>
        <w:drawing>
          <wp:inline distT="0" distB="0" distL="0" distR="0" wp14:anchorId="0861D883" wp14:editId="60FBD358">
            <wp:extent cx="5943600" cy="3807460"/>
            <wp:effectExtent l="0" t="0" r="0" b="254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07460"/>
                    </a:xfrm>
                    <a:prstGeom prst="rect">
                      <a:avLst/>
                    </a:prstGeom>
                    <a:noFill/>
                    <a:ln>
                      <a:noFill/>
                    </a:ln>
                  </pic:spPr>
                </pic:pic>
              </a:graphicData>
            </a:graphic>
          </wp:inline>
        </w:drawing>
      </w:r>
    </w:p>
    <w:p w14:paraId="07D15CCA" w14:textId="3FE467A6" w:rsidR="001254B5" w:rsidRDefault="001254B5" w:rsidP="00C26BD0">
      <w:pPr>
        <w:rPr>
          <w:b/>
          <w:bCs/>
          <w:sz w:val="24"/>
          <w:szCs w:val="24"/>
        </w:rPr>
      </w:pPr>
      <w:r>
        <w:rPr>
          <w:b/>
          <w:bCs/>
          <w:sz w:val="24"/>
          <w:szCs w:val="24"/>
        </w:rPr>
        <w:br w:type="page"/>
      </w:r>
    </w:p>
    <w:p w14:paraId="05D39E1C" w14:textId="6B765DE7" w:rsidR="00C26BD0" w:rsidRDefault="00C26BD0" w:rsidP="00C26BD0">
      <w:pPr>
        <w:rPr>
          <w:b/>
          <w:bCs/>
          <w:sz w:val="24"/>
          <w:szCs w:val="24"/>
        </w:rPr>
      </w:pPr>
      <w:r>
        <w:rPr>
          <w:b/>
          <w:bCs/>
          <w:sz w:val="24"/>
          <w:szCs w:val="24"/>
        </w:rPr>
        <w:lastRenderedPageBreak/>
        <w:t xml:space="preserve">Question 2: </w:t>
      </w:r>
      <w:r w:rsidRPr="00C26BD0">
        <w:rPr>
          <w:b/>
          <w:bCs/>
          <w:sz w:val="24"/>
          <w:szCs w:val="24"/>
        </w:rPr>
        <w:t>What are the least affordable MSAs to benchmark against the fastest growing MSAs?</w:t>
      </w:r>
    </w:p>
    <w:p w14:paraId="7DB76ED1" w14:textId="67191D55" w:rsidR="007363E0" w:rsidRDefault="007363E0" w:rsidP="0018104E">
      <w:pPr>
        <w:jc w:val="both"/>
        <w:rPr>
          <w:sz w:val="24"/>
          <w:szCs w:val="24"/>
        </w:rPr>
      </w:pPr>
      <w:r>
        <w:rPr>
          <w:sz w:val="24"/>
          <w:szCs w:val="24"/>
        </w:rPr>
        <w:t>The affordability index we created fell along a tighter range of values than expected, ranging from roughly 0.225 to 0.3 for almost all MSAs looked at, though there were a couple high outliers. Miami</w:t>
      </w:r>
      <w:r w:rsidR="00E30C6B">
        <w:rPr>
          <w:sz w:val="24"/>
          <w:szCs w:val="24"/>
        </w:rPr>
        <w:t>, FL</w:t>
      </w:r>
      <w:r>
        <w:rPr>
          <w:sz w:val="24"/>
          <w:szCs w:val="24"/>
        </w:rPr>
        <w:t xml:space="preserve"> and Los Angeles</w:t>
      </w:r>
      <w:r w:rsidR="00E30C6B">
        <w:rPr>
          <w:sz w:val="24"/>
          <w:szCs w:val="24"/>
        </w:rPr>
        <w:t>, CA</w:t>
      </w:r>
      <w:r>
        <w:rPr>
          <w:sz w:val="24"/>
          <w:szCs w:val="24"/>
        </w:rPr>
        <w:t xml:space="preserve"> had the highest affordability index (meaning highest percentage of income spent on housing/rent) at approximately .35 each, </w:t>
      </w:r>
      <w:r w:rsidR="00E30C6B">
        <w:rPr>
          <w:sz w:val="24"/>
          <w:szCs w:val="24"/>
        </w:rPr>
        <w:t xml:space="preserve">with San Diego, CA, New Haven, CT, and New Orleans, LA, rounding out the bottom 5 least affordable MSAs with affordability metrics. The top 5 are all coastal cities, potentially with the limited availability and high cost of real estate </w:t>
      </w:r>
      <w:r w:rsidR="001254B5">
        <w:rPr>
          <w:sz w:val="24"/>
          <w:szCs w:val="24"/>
        </w:rPr>
        <w:t xml:space="preserve">likely </w:t>
      </w:r>
      <w:r w:rsidR="00E30C6B">
        <w:rPr>
          <w:sz w:val="24"/>
          <w:szCs w:val="24"/>
        </w:rPr>
        <w:t xml:space="preserve">contributing to </w:t>
      </w:r>
      <w:r w:rsidR="001254B5">
        <w:rPr>
          <w:sz w:val="24"/>
          <w:szCs w:val="24"/>
        </w:rPr>
        <w:t>the low affordability.</w:t>
      </w:r>
    </w:p>
    <w:p w14:paraId="49872BC8" w14:textId="3E5C3F0F" w:rsidR="001254B5" w:rsidRDefault="001254B5" w:rsidP="0018104E">
      <w:pPr>
        <w:jc w:val="both"/>
        <w:rPr>
          <w:sz w:val="24"/>
          <w:szCs w:val="24"/>
        </w:rPr>
      </w:pPr>
      <w:r>
        <w:rPr>
          <w:sz w:val="24"/>
          <w:szCs w:val="24"/>
        </w:rPr>
        <w:t>The following chart shows the top 3 least affordable MSAs as compared to the fastest growing MSAs we’ve selected for analysis. We did find that the faster growing MSAs were not among the most expensive, lending some support to the idea that affordability may be a factor in population movement, though we were not able to prove causation for this based on our regression analysis.</w:t>
      </w:r>
    </w:p>
    <w:p w14:paraId="73EBFA0A" w14:textId="77777777" w:rsidR="00437653" w:rsidRDefault="00437653" w:rsidP="0018104E">
      <w:pPr>
        <w:jc w:val="both"/>
        <w:rPr>
          <w:sz w:val="24"/>
          <w:szCs w:val="24"/>
        </w:rPr>
      </w:pPr>
    </w:p>
    <w:p w14:paraId="5696CC76" w14:textId="6E76F2D6" w:rsidR="001254B5" w:rsidRPr="007363E0" w:rsidRDefault="001254B5" w:rsidP="00C26BD0">
      <w:pPr>
        <w:rPr>
          <w:sz w:val="24"/>
          <w:szCs w:val="24"/>
        </w:rPr>
      </w:pPr>
      <w:r>
        <w:rPr>
          <w:noProof/>
        </w:rPr>
        <w:drawing>
          <wp:inline distT="0" distB="0" distL="0" distR="0" wp14:anchorId="03425113" wp14:editId="3B2DFE06">
            <wp:extent cx="5553075" cy="25336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533650"/>
                    </a:xfrm>
                    <a:prstGeom prst="rect">
                      <a:avLst/>
                    </a:prstGeom>
                    <a:noFill/>
                    <a:ln>
                      <a:noFill/>
                    </a:ln>
                  </pic:spPr>
                </pic:pic>
              </a:graphicData>
            </a:graphic>
          </wp:inline>
        </w:drawing>
      </w:r>
    </w:p>
    <w:p w14:paraId="34406874" w14:textId="25F3EEA1" w:rsidR="00C26BD0" w:rsidRDefault="001254B5" w:rsidP="00C26BD0">
      <w:pPr>
        <w:rPr>
          <w:b/>
          <w:bCs/>
          <w:sz w:val="24"/>
          <w:szCs w:val="24"/>
        </w:rPr>
      </w:pPr>
      <w:r>
        <w:rPr>
          <w:b/>
          <w:bCs/>
          <w:sz w:val="24"/>
          <w:szCs w:val="24"/>
        </w:rPr>
        <w:br w:type="page"/>
      </w:r>
    </w:p>
    <w:p w14:paraId="00804E89" w14:textId="6C8EE501" w:rsidR="00C26BD0" w:rsidRDefault="00C26BD0" w:rsidP="00C26BD0">
      <w:pPr>
        <w:rPr>
          <w:b/>
          <w:bCs/>
          <w:sz w:val="24"/>
          <w:szCs w:val="24"/>
        </w:rPr>
      </w:pPr>
      <w:r>
        <w:rPr>
          <w:b/>
          <w:bCs/>
          <w:sz w:val="24"/>
          <w:szCs w:val="24"/>
        </w:rPr>
        <w:lastRenderedPageBreak/>
        <w:t xml:space="preserve">Question 3: </w:t>
      </w:r>
      <w:r w:rsidRPr="00C26BD0">
        <w:rPr>
          <w:b/>
          <w:bCs/>
          <w:sz w:val="24"/>
          <w:szCs w:val="24"/>
        </w:rPr>
        <w:t>Are people moving to or from zip codes within the MSAs based on affordability?</w:t>
      </w:r>
    </w:p>
    <w:p w14:paraId="5FD9DF0F" w14:textId="77777777" w:rsidR="003F3922" w:rsidRDefault="001254B5" w:rsidP="0018104E">
      <w:pPr>
        <w:jc w:val="both"/>
        <w:rPr>
          <w:sz w:val="24"/>
          <w:szCs w:val="24"/>
        </w:rPr>
      </w:pPr>
      <w:r>
        <w:rPr>
          <w:sz w:val="24"/>
          <w:szCs w:val="24"/>
        </w:rPr>
        <w:t xml:space="preserve">When we looked in detail at the zip code level and correlated change in the affordability metric from 2014 to 2019 against the change in population, we did not find a statistical relationship between the </w:t>
      </w:r>
      <w:r w:rsidR="003F3922">
        <w:rPr>
          <w:sz w:val="24"/>
          <w:szCs w:val="24"/>
        </w:rPr>
        <w:t>variables.</w:t>
      </w:r>
    </w:p>
    <w:p w14:paraId="40F444AF" w14:textId="3EE4386F" w:rsidR="00C26BD0" w:rsidRDefault="003F3922" w:rsidP="0018104E">
      <w:pPr>
        <w:jc w:val="both"/>
        <w:rPr>
          <w:sz w:val="24"/>
          <w:szCs w:val="24"/>
        </w:rPr>
      </w:pPr>
      <w:r>
        <w:rPr>
          <w:sz w:val="24"/>
          <w:szCs w:val="24"/>
        </w:rPr>
        <w:t>The following scatterplots show our tests of affordability against population for our zip codes, the r-squared value shows essentially no correlation.</w:t>
      </w:r>
    </w:p>
    <w:p w14:paraId="5455DC41" w14:textId="77777777" w:rsidR="00437653" w:rsidRDefault="00437653" w:rsidP="0018104E">
      <w:pPr>
        <w:jc w:val="both"/>
        <w:rPr>
          <w:sz w:val="24"/>
          <w:szCs w:val="24"/>
        </w:rPr>
      </w:pPr>
    </w:p>
    <w:p w14:paraId="688FEC69" w14:textId="1CD4FA59" w:rsidR="003F3922" w:rsidRDefault="007D4204" w:rsidP="003F3922">
      <w:pPr>
        <w:pStyle w:val="NormalWeb"/>
        <w:spacing w:before="0" w:beforeAutospacing="0" w:after="0" w:afterAutospacing="0"/>
        <w:rPr>
          <w:rFonts w:ascii="Fira Sans" w:hAnsi="Fira Sans"/>
          <w:color w:val="000000"/>
          <w:sz w:val="28"/>
          <w:szCs w:val="28"/>
        </w:rPr>
      </w:pPr>
      <w:r w:rsidRPr="007D4204">
        <w:rPr>
          <w:rFonts w:ascii="Fira Sans" w:hAnsi="Fira Sans"/>
          <w:noProof/>
          <w:color w:val="000000"/>
          <w:sz w:val="28"/>
          <w:szCs w:val="28"/>
        </w:rPr>
        <mc:AlternateContent>
          <mc:Choice Requires="wps">
            <w:drawing>
              <wp:anchor distT="45720" distB="45720" distL="114300" distR="114300" simplePos="0" relativeHeight="251672576" behindDoc="0" locked="0" layoutInCell="1" allowOverlap="1" wp14:anchorId="553475DB" wp14:editId="31DD1B36">
                <wp:simplePos x="0" y="0"/>
                <wp:positionH relativeFrom="column">
                  <wp:posOffset>400050</wp:posOffset>
                </wp:positionH>
                <wp:positionV relativeFrom="paragraph">
                  <wp:posOffset>3843655</wp:posOffset>
                </wp:positionV>
                <wp:extent cx="1228725" cy="3333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33375"/>
                        </a:xfrm>
                        <a:prstGeom prst="rect">
                          <a:avLst/>
                        </a:prstGeom>
                        <a:solidFill>
                          <a:srgbClr val="FFFFFF"/>
                        </a:solidFill>
                        <a:ln w="9525">
                          <a:solidFill>
                            <a:srgbClr val="000000"/>
                          </a:solidFill>
                          <a:miter lim="800000"/>
                          <a:headEnd/>
                          <a:tailEnd/>
                        </a:ln>
                      </wps:spPr>
                      <wps:txbx>
                        <w:txbxContent>
                          <w:p w14:paraId="18C1C092" w14:textId="581A9B17" w:rsidR="007D4204" w:rsidRDefault="007D4204">
                            <w:r>
                              <w:rPr>
                                <w:rFonts w:ascii="Fira Sans" w:hAnsi="Fira Sans"/>
                                <w:color w:val="000000"/>
                                <w:sz w:val="28"/>
                                <w:szCs w:val="28"/>
                              </w:rPr>
                              <w:t>r</w:t>
                            </w:r>
                            <w:proofErr w:type="gramStart"/>
                            <w:r>
                              <w:rPr>
                                <w:rFonts w:ascii="Fira Sans" w:hAnsi="Fira Sans"/>
                                <w:color w:val="000000"/>
                                <w:sz w:val="17"/>
                                <w:szCs w:val="17"/>
                                <w:vertAlign w:val="superscript"/>
                              </w:rPr>
                              <w:t xml:space="preserve">2  </w:t>
                            </w:r>
                            <w:r>
                              <w:rPr>
                                <w:rFonts w:ascii="Fira Sans" w:hAnsi="Fira Sans"/>
                                <w:color w:val="000000"/>
                                <w:sz w:val="28"/>
                                <w:szCs w:val="28"/>
                              </w:rPr>
                              <w:t>=</w:t>
                            </w:r>
                            <w:proofErr w:type="gramEnd"/>
                            <w:r>
                              <w:rPr>
                                <w:rFonts w:ascii="Fira Sans" w:hAnsi="Fira Sans"/>
                                <w:color w:val="000000"/>
                                <w:sz w:val="28"/>
                                <w:szCs w:val="28"/>
                              </w:rPr>
                              <w:t xml:space="preserve"> 0.005249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475DB" id="_x0000_t202" coordsize="21600,21600" o:spt="202" path="m,l,21600r21600,l21600,xe">
                <v:stroke joinstyle="miter"/>
                <v:path gradientshapeok="t" o:connecttype="rect"/>
              </v:shapetype>
              <v:shape id="Text Box 2" o:spid="_x0000_s1026" type="#_x0000_t202" style="position:absolute;margin-left:31.5pt;margin-top:302.65pt;width:96.75pt;height:2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">
                <v:textbox>
                  <w:txbxContent>
                    <w:p w14:paraId="18C1C092" w14:textId="581A9B17" w:rsidR="007D4204" w:rsidRDefault="007D4204">
                      <w:r>
                        <w:rPr>
                          <w:rFonts w:ascii="Fira Sans" w:hAnsi="Fira Sans"/>
                          <w:color w:val="000000"/>
                          <w:sz w:val="28"/>
                          <w:szCs w:val="28"/>
                        </w:rPr>
                        <w:t>r</w:t>
                      </w:r>
                      <w:proofErr w:type="gramStart"/>
                      <w:r>
                        <w:rPr>
                          <w:rFonts w:ascii="Fira Sans" w:hAnsi="Fira Sans"/>
                          <w:color w:val="000000"/>
                          <w:sz w:val="17"/>
                          <w:szCs w:val="17"/>
                          <w:vertAlign w:val="superscript"/>
                        </w:rPr>
                        <w:t xml:space="preserve">2  </w:t>
                      </w:r>
                      <w:r>
                        <w:rPr>
                          <w:rFonts w:ascii="Fira Sans" w:hAnsi="Fira Sans"/>
                          <w:color w:val="000000"/>
                          <w:sz w:val="28"/>
                          <w:szCs w:val="28"/>
                        </w:rPr>
                        <w:t>=</w:t>
                      </w:r>
                      <w:proofErr w:type="gramEnd"/>
                      <w:r>
                        <w:rPr>
                          <w:rFonts w:ascii="Fira Sans" w:hAnsi="Fira Sans"/>
                          <w:color w:val="000000"/>
                          <w:sz w:val="28"/>
                          <w:szCs w:val="28"/>
                        </w:rPr>
                        <w:t xml:space="preserve"> 0.005249</w:t>
                      </w:r>
                    </w:p>
                  </w:txbxContent>
                </v:textbox>
              </v:shape>
            </w:pict>
          </mc:Fallback>
        </mc:AlternateContent>
      </w:r>
      <w:r w:rsidR="003F3922">
        <w:rPr>
          <w:noProof/>
        </w:rPr>
        <w:drawing>
          <wp:inline distT="0" distB="0" distL="0" distR="0" wp14:anchorId="1B5079D4" wp14:editId="4F214043">
            <wp:extent cx="5943600" cy="451802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18025"/>
                    </a:xfrm>
                    <a:prstGeom prst="rect">
                      <a:avLst/>
                    </a:prstGeom>
                    <a:noFill/>
                    <a:ln>
                      <a:noFill/>
                    </a:ln>
                  </pic:spPr>
                </pic:pic>
              </a:graphicData>
            </a:graphic>
          </wp:inline>
        </w:drawing>
      </w:r>
    </w:p>
    <w:p w14:paraId="4699F1E6" w14:textId="387E73BC" w:rsidR="003F3922" w:rsidRDefault="003F3922" w:rsidP="003F3922">
      <w:pPr>
        <w:pStyle w:val="NormalWeb"/>
        <w:spacing w:before="0" w:beforeAutospacing="0" w:after="0" w:afterAutospacing="0"/>
        <w:rPr>
          <w:rFonts w:ascii="Fira Sans" w:hAnsi="Fira Sans"/>
          <w:color w:val="000000"/>
          <w:sz w:val="28"/>
          <w:szCs w:val="28"/>
        </w:rPr>
      </w:pPr>
    </w:p>
    <w:p w14:paraId="68AA1D01" w14:textId="6DB03B04" w:rsidR="003F3922" w:rsidRDefault="003F3922" w:rsidP="003F3922">
      <w:pPr>
        <w:pStyle w:val="NormalWeb"/>
        <w:spacing w:before="0" w:beforeAutospacing="0" w:after="0" w:afterAutospacing="0"/>
      </w:pPr>
    </w:p>
    <w:p w14:paraId="2BC404D0" w14:textId="77777777" w:rsidR="00C81126" w:rsidRDefault="00C81126">
      <w:pPr>
        <w:rPr>
          <w:sz w:val="24"/>
          <w:szCs w:val="24"/>
        </w:rPr>
      </w:pPr>
      <w:r>
        <w:rPr>
          <w:sz w:val="24"/>
          <w:szCs w:val="24"/>
        </w:rPr>
        <w:br w:type="page"/>
      </w:r>
    </w:p>
    <w:p w14:paraId="6F9D7E40" w14:textId="77777777" w:rsidR="007D4204" w:rsidRDefault="007D4204" w:rsidP="007D4204">
      <w:pPr>
        <w:rPr>
          <w:b/>
          <w:bCs/>
          <w:sz w:val="24"/>
          <w:szCs w:val="24"/>
        </w:rPr>
      </w:pPr>
      <w:r>
        <w:rPr>
          <w:b/>
          <w:bCs/>
          <w:sz w:val="24"/>
          <w:szCs w:val="24"/>
        </w:rPr>
        <w:lastRenderedPageBreak/>
        <w:t xml:space="preserve">Question 4: </w:t>
      </w:r>
      <w:r w:rsidRPr="00C26BD0">
        <w:rPr>
          <w:b/>
          <w:bCs/>
          <w:sz w:val="24"/>
          <w:szCs w:val="24"/>
        </w:rPr>
        <w:t>Does population growth drive decreased affordability?</w:t>
      </w:r>
    </w:p>
    <w:p w14:paraId="08015CC8" w14:textId="77777777" w:rsidR="007D4204" w:rsidRPr="003F3922" w:rsidRDefault="007D4204" w:rsidP="0018104E">
      <w:pPr>
        <w:jc w:val="both"/>
        <w:rPr>
          <w:sz w:val="24"/>
          <w:szCs w:val="24"/>
        </w:rPr>
      </w:pPr>
      <w:proofErr w:type="gramStart"/>
      <w:r>
        <w:rPr>
          <w:sz w:val="24"/>
          <w:szCs w:val="24"/>
        </w:rPr>
        <w:t>Similar to</w:t>
      </w:r>
      <w:proofErr w:type="gramEnd"/>
      <w:r>
        <w:rPr>
          <w:sz w:val="24"/>
          <w:szCs w:val="24"/>
        </w:rPr>
        <w:t xml:space="preserve"> above, we looked at the fastest and slowest growing MSAs (shrinking MSAs) against the change in affordability and found no correlation. The affordability seems to be decreasing across the board regardless of population growth.</w:t>
      </w:r>
    </w:p>
    <w:p w14:paraId="37511E21" w14:textId="77777777" w:rsidR="007D4204" w:rsidRDefault="007D4204" w:rsidP="007D4204">
      <w:pPr>
        <w:pStyle w:val="NormalWeb"/>
        <w:spacing w:before="0" w:beforeAutospacing="0" w:after="0" w:afterAutospacing="0"/>
      </w:pPr>
      <w:r>
        <w:rPr>
          <w:noProof/>
        </w:rPr>
        <w:drawing>
          <wp:anchor distT="0" distB="0" distL="114300" distR="114300" simplePos="0" relativeHeight="251665408" behindDoc="1" locked="0" layoutInCell="1" allowOverlap="1" wp14:anchorId="41C1FDFA" wp14:editId="6E8C7C67">
            <wp:simplePos x="0" y="0"/>
            <wp:positionH relativeFrom="margin">
              <wp:align>center</wp:align>
            </wp:positionH>
            <wp:positionV relativeFrom="paragraph">
              <wp:posOffset>22225</wp:posOffset>
            </wp:positionV>
            <wp:extent cx="5300663" cy="3533775"/>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663"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D97AE" w14:textId="3DCCD91B" w:rsidR="007D4204" w:rsidRDefault="007D4204" w:rsidP="007D4204"/>
    <w:p w14:paraId="44B0B0D2" w14:textId="40DDE8AF" w:rsidR="007D4204" w:rsidRDefault="007D4204" w:rsidP="007D4204"/>
    <w:p w14:paraId="497C547C" w14:textId="45E0FA30" w:rsidR="007D4204" w:rsidRDefault="007D4204" w:rsidP="007D4204">
      <w:r>
        <w:rPr>
          <w:noProof/>
        </w:rPr>
        <w:drawing>
          <wp:anchor distT="0" distB="0" distL="114300" distR="114300" simplePos="0" relativeHeight="251666432" behindDoc="1" locked="0" layoutInCell="1" allowOverlap="1" wp14:anchorId="0E800FED" wp14:editId="25E21D58">
            <wp:simplePos x="0" y="0"/>
            <wp:positionH relativeFrom="margin">
              <wp:align>center</wp:align>
            </wp:positionH>
            <wp:positionV relativeFrom="paragraph">
              <wp:posOffset>2860675</wp:posOffset>
            </wp:positionV>
            <wp:extent cx="5343525" cy="3562350"/>
            <wp:effectExtent l="0" t="0" r="9525" b="0"/>
            <wp:wrapNone/>
            <wp:docPr id="5" name="Picture 5"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95D32" w14:textId="6FF1E988" w:rsidR="007D4204" w:rsidRDefault="007D4204">
      <w:pPr>
        <w:rPr>
          <w:b/>
          <w:bCs/>
          <w:sz w:val="24"/>
          <w:szCs w:val="24"/>
        </w:rPr>
      </w:pPr>
      <w:r>
        <w:rPr>
          <w:noProof/>
        </w:rPr>
        <mc:AlternateContent>
          <mc:Choice Requires="wps">
            <w:drawing>
              <wp:anchor distT="45720" distB="45720" distL="114300" distR="114300" simplePos="0" relativeHeight="251670528" behindDoc="0" locked="0" layoutInCell="1" allowOverlap="1" wp14:anchorId="49DFA8FF" wp14:editId="4FABFAFB">
                <wp:simplePos x="0" y="0"/>
                <wp:positionH relativeFrom="column">
                  <wp:posOffset>1047750</wp:posOffset>
                </wp:positionH>
                <wp:positionV relativeFrom="paragraph">
                  <wp:posOffset>3084195</wp:posOffset>
                </wp:positionV>
                <wp:extent cx="101917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rgbClr val="000000"/>
                          </a:solidFill>
                          <a:miter lim="800000"/>
                          <a:headEnd/>
                          <a:tailEnd/>
                        </a:ln>
                      </wps:spPr>
                      <wps:txbx>
                        <w:txbxContent>
                          <w:p w14:paraId="2AE27F91" w14:textId="77777777" w:rsidR="007D4204" w:rsidRDefault="007D4204" w:rsidP="007D4204">
                            <w:pPr>
                              <w:pStyle w:val="NormalWeb"/>
                              <w:spacing w:before="0" w:beforeAutospacing="0" w:after="0" w:afterAutospacing="0"/>
                            </w:pPr>
                            <w:r>
                              <w:rPr>
                                <w:rFonts w:ascii="Fira Sans" w:hAnsi="Fira Sans"/>
                                <w:color w:val="000000"/>
                                <w:sz w:val="28"/>
                                <w:szCs w:val="28"/>
                              </w:rPr>
                              <w:t>r</w:t>
                            </w:r>
                            <w:r>
                              <w:rPr>
                                <w:rFonts w:ascii="Fira Sans" w:hAnsi="Fira Sans"/>
                                <w:color w:val="000000"/>
                                <w:sz w:val="17"/>
                                <w:szCs w:val="17"/>
                                <w:vertAlign w:val="superscript"/>
                              </w:rPr>
                              <w:t xml:space="preserve">2 </w:t>
                            </w:r>
                            <w:r>
                              <w:rPr>
                                <w:rFonts w:ascii="Fira Sans" w:hAnsi="Fira Sans"/>
                                <w:color w:val="000000"/>
                                <w:sz w:val="28"/>
                                <w:szCs w:val="28"/>
                              </w:rPr>
                              <w:t>= 0.0486</w:t>
                            </w:r>
                          </w:p>
                          <w:p w14:paraId="4E44AFA6" w14:textId="77777777" w:rsidR="007D4204" w:rsidRDefault="007D4204" w:rsidP="007D42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FA8FF" id="_x0000_s1027" type="#_x0000_t202" style="position:absolute;margin-left:82.5pt;margin-top:242.85pt;width:80.2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">
                <v:textbox>
                  <w:txbxContent>
                    <w:p w14:paraId="2AE27F91" w14:textId="77777777" w:rsidR="007D4204" w:rsidRDefault="007D4204" w:rsidP="007D4204">
                      <w:pPr>
                        <w:pStyle w:val="NormalWeb"/>
                        <w:spacing w:before="0" w:beforeAutospacing="0" w:after="0" w:afterAutospacing="0"/>
                      </w:pPr>
                      <w:r>
                        <w:rPr>
                          <w:rFonts w:ascii="Fira Sans" w:hAnsi="Fira Sans"/>
                          <w:color w:val="000000"/>
                          <w:sz w:val="28"/>
                          <w:szCs w:val="28"/>
                        </w:rPr>
                        <w:t>r</w:t>
                      </w:r>
                      <w:r>
                        <w:rPr>
                          <w:rFonts w:ascii="Fira Sans" w:hAnsi="Fira Sans"/>
                          <w:color w:val="000000"/>
                          <w:sz w:val="17"/>
                          <w:szCs w:val="17"/>
                          <w:vertAlign w:val="superscript"/>
                        </w:rPr>
                        <w:t xml:space="preserve">2 </w:t>
                      </w:r>
                      <w:r>
                        <w:rPr>
                          <w:rFonts w:ascii="Fira Sans" w:hAnsi="Fira Sans"/>
                          <w:color w:val="000000"/>
                          <w:sz w:val="28"/>
                          <w:szCs w:val="28"/>
                        </w:rPr>
                        <w:t>= 0.0486</w:t>
                      </w:r>
                    </w:p>
                    <w:p w14:paraId="4E44AFA6" w14:textId="77777777" w:rsidR="007D4204" w:rsidRDefault="007D4204" w:rsidP="007D4204"/>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48C5844C" wp14:editId="07A02618">
                <wp:simplePos x="0" y="0"/>
                <wp:positionH relativeFrom="column">
                  <wp:posOffset>1047750</wp:posOffset>
                </wp:positionH>
                <wp:positionV relativeFrom="paragraph">
                  <wp:posOffset>1750695</wp:posOffset>
                </wp:positionV>
                <wp:extent cx="1000125" cy="285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solidFill>
                          <a:srgbClr val="FFFFFF"/>
                        </a:solidFill>
                        <a:ln w="9525">
                          <a:solidFill>
                            <a:srgbClr val="000000"/>
                          </a:solidFill>
                          <a:miter lim="800000"/>
                          <a:headEnd/>
                          <a:tailEnd/>
                        </a:ln>
                      </wps:spPr>
                      <wps:txbx>
                        <w:txbxContent>
                          <w:p w14:paraId="67F23960" w14:textId="77777777" w:rsidR="007D4204" w:rsidRPr="00C81126" w:rsidRDefault="007D4204" w:rsidP="007D4204">
                            <w:pPr>
                              <w:pStyle w:val="NormalWeb"/>
                              <w:spacing w:before="0" w:beforeAutospacing="0" w:after="0" w:afterAutospacing="0"/>
                            </w:pPr>
                            <w:r w:rsidRPr="00C81126">
                              <w:rPr>
                                <w:rFonts w:ascii="Fira Sans" w:hAnsi="Fira Sans"/>
                                <w:color w:val="000000"/>
                                <w:sz w:val="28"/>
                                <w:szCs w:val="28"/>
                              </w:rPr>
                              <w:t>r</w:t>
                            </w:r>
                            <w:r w:rsidRPr="00C81126">
                              <w:rPr>
                                <w:rFonts w:ascii="Fira Sans" w:hAnsi="Fira Sans"/>
                                <w:color w:val="000000"/>
                                <w:sz w:val="18"/>
                                <w:szCs w:val="18"/>
                                <w:vertAlign w:val="superscript"/>
                              </w:rPr>
                              <w:t xml:space="preserve">2 </w:t>
                            </w:r>
                            <w:r w:rsidRPr="00C81126">
                              <w:rPr>
                                <w:rFonts w:ascii="Fira Sans" w:hAnsi="Fira Sans"/>
                                <w:color w:val="000000"/>
                                <w:sz w:val="28"/>
                                <w:szCs w:val="28"/>
                              </w:rPr>
                              <w:t>= 0.0179</w:t>
                            </w:r>
                          </w:p>
                          <w:p w14:paraId="528FFE3A" w14:textId="77777777" w:rsidR="007D4204" w:rsidRDefault="007D4204" w:rsidP="007D42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844C" id="_x0000_s1028" type="#_x0000_t202" style="position:absolute;margin-left:82.5pt;margin-top:137.85pt;width:78.7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">
                <v:textbox>
                  <w:txbxContent>
                    <w:p w14:paraId="67F23960" w14:textId="77777777" w:rsidR="007D4204" w:rsidRPr="00C81126" w:rsidRDefault="007D4204" w:rsidP="007D4204">
                      <w:pPr>
                        <w:pStyle w:val="NormalWeb"/>
                        <w:spacing w:before="0" w:beforeAutospacing="0" w:after="0" w:afterAutospacing="0"/>
                      </w:pPr>
                      <w:r w:rsidRPr="00C81126">
                        <w:rPr>
                          <w:rFonts w:ascii="Fira Sans" w:hAnsi="Fira Sans"/>
                          <w:color w:val="000000"/>
                          <w:sz w:val="28"/>
                          <w:szCs w:val="28"/>
                        </w:rPr>
                        <w:t>r</w:t>
                      </w:r>
                      <w:r w:rsidRPr="00C81126">
                        <w:rPr>
                          <w:rFonts w:ascii="Fira Sans" w:hAnsi="Fira Sans"/>
                          <w:color w:val="000000"/>
                          <w:sz w:val="18"/>
                          <w:szCs w:val="18"/>
                          <w:vertAlign w:val="superscript"/>
                        </w:rPr>
                        <w:t xml:space="preserve">2 </w:t>
                      </w:r>
                      <w:r w:rsidRPr="00C81126">
                        <w:rPr>
                          <w:rFonts w:ascii="Fira Sans" w:hAnsi="Fira Sans"/>
                          <w:color w:val="000000"/>
                          <w:sz w:val="28"/>
                          <w:szCs w:val="28"/>
                        </w:rPr>
                        <w:t>= 0.0179</w:t>
                      </w:r>
                    </w:p>
                    <w:p w14:paraId="528FFE3A" w14:textId="77777777" w:rsidR="007D4204" w:rsidRDefault="007D4204" w:rsidP="007D4204"/>
                  </w:txbxContent>
                </v:textbox>
                <w10:wrap type="square"/>
              </v:shape>
            </w:pict>
          </mc:Fallback>
        </mc:AlternateContent>
      </w:r>
      <w:r>
        <w:rPr>
          <w:b/>
          <w:bCs/>
          <w:sz w:val="24"/>
          <w:szCs w:val="24"/>
        </w:rPr>
        <w:br w:type="page"/>
      </w:r>
    </w:p>
    <w:p w14:paraId="30F99D8E" w14:textId="734BF7AB" w:rsidR="00C81126" w:rsidRDefault="00C81126" w:rsidP="00C26BD0">
      <w:pPr>
        <w:rPr>
          <w:b/>
          <w:bCs/>
          <w:sz w:val="24"/>
          <w:szCs w:val="24"/>
        </w:rPr>
      </w:pPr>
      <w:r>
        <w:rPr>
          <w:b/>
          <w:bCs/>
          <w:sz w:val="24"/>
          <w:szCs w:val="24"/>
        </w:rPr>
        <w:lastRenderedPageBreak/>
        <w:t>Bonus Question: How has affordability changed at the macro level across the US?</w:t>
      </w:r>
    </w:p>
    <w:p w14:paraId="783A341D" w14:textId="77777777" w:rsidR="00C81126" w:rsidRDefault="00C81126" w:rsidP="0018104E">
      <w:pPr>
        <w:jc w:val="both"/>
        <w:rPr>
          <w:sz w:val="24"/>
          <w:szCs w:val="24"/>
        </w:rPr>
      </w:pPr>
      <w:r>
        <w:rPr>
          <w:sz w:val="24"/>
          <w:szCs w:val="24"/>
        </w:rPr>
        <w:t>This question was not part of our initial proposal, but it was clear after diving into this data that affordability was a serious issue across the US. Among the dataset we studied, including 69 MSAs and nearly 200 million people, 86% live in zip codes in which affordability has decreased in the past 5 years, and just 2 MSAs had become more affordable.</w:t>
      </w:r>
    </w:p>
    <w:p w14:paraId="425EFB16" w14:textId="7CEF92F6" w:rsidR="00965770" w:rsidRDefault="00C81126" w:rsidP="0018104E">
      <w:pPr>
        <w:jc w:val="both"/>
        <w:rPr>
          <w:sz w:val="24"/>
          <w:szCs w:val="24"/>
        </w:rPr>
      </w:pPr>
      <w:r>
        <w:rPr>
          <w:sz w:val="24"/>
          <w:szCs w:val="24"/>
        </w:rPr>
        <w:t xml:space="preserve">The decrease in affordability </w:t>
      </w:r>
      <w:r w:rsidR="00965770">
        <w:rPr>
          <w:sz w:val="24"/>
          <w:szCs w:val="24"/>
        </w:rPr>
        <w:t>in nearly all MSAs meant that we couldn’t correlate population growth to change in affordability, affordability was down for 97% of MSAs regardless of the change in population over this 5-year time frame.</w:t>
      </w:r>
    </w:p>
    <w:p w14:paraId="0DE5D00C" w14:textId="77777777" w:rsidR="00437653" w:rsidRDefault="00437653" w:rsidP="0018104E">
      <w:pPr>
        <w:jc w:val="both"/>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1471"/>
        <w:gridCol w:w="1768"/>
        <w:gridCol w:w="1524"/>
        <w:gridCol w:w="1717"/>
        <w:gridCol w:w="1524"/>
      </w:tblGrid>
      <w:tr w:rsidR="00965770" w:rsidRPr="00965770" w14:paraId="2965F11A" w14:textId="77777777" w:rsidTr="00965770">
        <w:trPr>
          <w:trHeight w:val="69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282709"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Times New Roman" w:eastAsia="Times New Roman" w:hAnsi="Times New Roman" w:cs="Times New Roman"/>
              </w:rPr>
              <w:t> </w:t>
            </w:r>
          </w:p>
          <w:p w14:paraId="626E5A36"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Times New Roman" w:eastAsia="Times New Roman" w:hAnsi="Times New Roman" w:cs="Times New Roman"/>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87B092" w14:textId="0EB361D5"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color w:val="000000"/>
              </w:rPr>
              <w:t>More Affordable</w:t>
            </w:r>
          </w:p>
        </w:tc>
        <w:tc>
          <w:tcPr>
            <w:tcW w:w="176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8D9A8A"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i/>
                <w:iCs/>
                <w:color w:val="000000"/>
              </w:rPr>
              <w:t>More Affordable (%)</w:t>
            </w:r>
          </w:p>
        </w:tc>
        <w:tc>
          <w:tcPr>
            <w:tcW w:w="1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6EA79B"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color w:val="000000"/>
              </w:rPr>
              <w:t>Less Affordable </w:t>
            </w:r>
          </w:p>
        </w:tc>
        <w:tc>
          <w:tcPr>
            <w:tcW w:w="171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20A85E"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i/>
                <w:iCs/>
                <w:color w:val="000000"/>
              </w:rPr>
              <w:t>Less Affordable (%)</w:t>
            </w:r>
          </w:p>
        </w:tc>
        <w:tc>
          <w:tcPr>
            <w:tcW w:w="143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E80DCA"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color w:val="000000"/>
              </w:rPr>
              <w:t>Total</w:t>
            </w:r>
          </w:p>
        </w:tc>
      </w:tr>
      <w:tr w:rsidR="00965770" w:rsidRPr="00965770" w14:paraId="42DE834B" w14:textId="77777777" w:rsidTr="00965770">
        <w:trPr>
          <w:trHeight w:val="6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DF2971"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color w:val="000000"/>
              </w:rPr>
              <w:t>Population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45BA53"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28,398,842</w:t>
            </w:r>
          </w:p>
        </w:tc>
        <w:tc>
          <w:tcPr>
            <w:tcW w:w="176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0A0008"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i/>
                <w:iCs/>
                <w:color w:val="000000"/>
              </w:rPr>
              <w:t>14%</w:t>
            </w:r>
          </w:p>
        </w:tc>
        <w:tc>
          <w:tcPr>
            <w:tcW w:w="1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B012BC"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168,538,042</w:t>
            </w:r>
          </w:p>
        </w:tc>
        <w:tc>
          <w:tcPr>
            <w:tcW w:w="171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CBC2B6" w14:textId="099A45AE"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i/>
                <w:iCs/>
                <w:color w:val="000000"/>
              </w:rPr>
              <w:t>86%</w:t>
            </w:r>
          </w:p>
        </w:tc>
        <w:tc>
          <w:tcPr>
            <w:tcW w:w="143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F9A93E"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196,936,884</w:t>
            </w:r>
          </w:p>
        </w:tc>
      </w:tr>
      <w:tr w:rsidR="00965770" w:rsidRPr="00965770" w14:paraId="561F6E43" w14:textId="77777777" w:rsidTr="00965770">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5FB0EE"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color w:val="000000"/>
              </w:rPr>
              <w:t>Zip Codes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138EC1" w14:textId="3608F0A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1,814</w:t>
            </w:r>
          </w:p>
        </w:tc>
        <w:tc>
          <w:tcPr>
            <w:tcW w:w="176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5831FF"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i/>
                <w:iCs/>
                <w:color w:val="000000"/>
              </w:rPr>
              <w:t>20%</w:t>
            </w:r>
          </w:p>
        </w:tc>
        <w:tc>
          <w:tcPr>
            <w:tcW w:w="1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82B9BC"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7,409</w:t>
            </w:r>
          </w:p>
        </w:tc>
        <w:tc>
          <w:tcPr>
            <w:tcW w:w="171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1C40AE"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i/>
                <w:iCs/>
                <w:color w:val="000000"/>
              </w:rPr>
              <w:t>80%</w:t>
            </w:r>
          </w:p>
        </w:tc>
        <w:tc>
          <w:tcPr>
            <w:tcW w:w="143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AEA35D2"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9,223</w:t>
            </w:r>
          </w:p>
        </w:tc>
      </w:tr>
      <w:tr w:rsidR="00965770" w:rsidRPr="00965770" w14:paraId="4053D7B0" w14:textId="77777777" w:rsidTr="00965770">
        <w:trPr>
          <w:trHeight w:val="4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D5EA4B" w14:textId="77777777" w:rsidR="00965770" w:rsidRPr="00965770" w:rsidRDefault="00965770" w:rsidP="00965770">
            <w:pPr>
              <w:spacing w:after="0" w:line="240" w:lineRule="auto"/>
              <w:rPr>
                <w:rFonts w:ascii="Times New Roman" w:eastAsia="Times New Roman" w:hAnsi="Times New Roman" w:cs="Times New Roman"/>
              </w:rPr>
            </w:pPr>
            <w:r w:rsidRPr="00965770">
              <w:rPr>
                <w:rFonts w:ascii="Arial" w:eastAsia="Times New Roman" w:hAnsi="Arial" w:cs="Arial"/>
                <w:color w:val="000000"/>
              </w:rPr>
              <w:t>MSAs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89EC94"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2</w:t>
            </w:r>
          </w:p>
        </w:tc>
        <w:tc>
          <w:tcPr>
            <w:tcW w:w="176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45BF7C"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i/>
                <w:iCs/>
                <w:color w:val="000000"/>
              </w:rPr>
              <w:t>3%</w:t>
            </w:r>
          </w:p>
        </w:tc>
        <w:tc>
          <w:tcPr>
            <w:tcW w:w="1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CFCA17"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67</w:t>
            </w:r>
          </w:p>
        </w:tc>
        <w:tc>
          <w:tcPr>
            <w:tcW w:w="171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588D097" w14:textId="49969E15"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i/>
                <w:iCs/>
                <w:color w:val="000000"/>
              </w:rPr>
              <w:t>97%</w:t>
            </w:r>
          </w:p>
        </w:tc>
        <w:tc>
          <w:tcPr>
            <w:tcW w:w="143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B6EA9F" w14:textId="77777777" w:rsidR="00965770" w:rsidRPr="00965770" w:rsidRDefault="00965770" w:rsidP="00965770">
            <w:pPr>
              <w:spacing w:after="0" w:line="240" w:lineRule="auto"/>
              <w:jc w:val="right"/>
              <w:rPr>
                <w:rFonts w:ascii="Times New Roman" w:eastAsia="Times New Roman" w:hAnsi="Times New Roman" w:cs="Times New Roman"/>
              </w:rPr>
            </w:pPr>
            <w:r w:rsidRPr="00965770">
              <w:rPr>
                <w:rFonts w:ascii="Arial" w:eastAsia="Times New Roman" w:hAnsi="Arial" w:cs="Arial"/>
                <w:color w:val="000000"/>
              </w:rPr>
              <w:t>69</w:t>
            </w:r>
          </w:p>
        </w:tc>
      </w:tr>
    </w:tbl>
    <w:p w14:paraId="3D12EDB6" w14:textId="5933229F" w:rsidR="006874C6" w:rsidRPr="0018104E" w:rsidRDefault="006874C6" w:rsidP="0018104E">
      <w:pPr>
        <w:tabs>
          <w:tab w:val="left" w:pos="5550"/>
        </w:tabs>
        <w:rPr>
          <w:sz w:val="24"/>
          <w:szCs w:val="24"/>
        </w:rPr>
      </w:pPr>
    </w:p>
    <w:sectPr w:rsidR="006874C6" w:rsidRPr="0018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34D0"/>
    <w:multiLevelType w:val="hybridMultilevel"/>
    <w:tmpl w:val="906C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D3355"/>
    <w:multiLevelType w:val="hybridMultilevel"/>
    <w:tmpl w:val="0A82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10487"/>
    <w:multiLevelType w:val="hybridMultilevel"/>
    <w:tmpl w:val="D95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AA"/>
    <w:rsid w:val="000A6C29"/>
    <w:rsid w:val="000D7032"/>
    <w:rsid w:val="00100F39"/>
    <w:rsid w:val="001254B5"/>
    <w:rsid w:val="0018104E"/>
    <w:rsid w:val="0021571C"/>
    <w:rsid w:val="00283A06"/>
    <w:rsid w:val="0039051C"/>
    <w:rsid w:val="003F03AA"/>
    <w:rsid w:val="003F3922"/>
    <w:rsid w:val="004307C7"/>
    <w:rsid w:val="00437653"/>
    <w:rsid w:val="006874C6"/>
    <w:rsid w:val="007363E0"/>
    <w:rsid w:val="007D4204"/>
    <w:rsid w:val="00866864"/>
    <w:rsid w:val="008B627F"/>
    <w:rsid w:val="008C283B"/>
    <w:rsid w:val="0092358D"/>
    <w:rsid w:val="00965770"/>
    <w:rsid w:val="009E5AFD"/>
    <w:rsid w:val="00A933B3"/>
    <w:rsid w:val="00AE59F6"/>
    <w:rsid w:val="00C26BD0"/>
    <w:rsid w:val="00C81126"/>
    <w:rsid w:val="00E3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BC4B"/>
  <w15:chartTrackingRefBased/>
  <w15:docId w15:val="{538BA45A-FA74-41A5-8BF3-343EAC87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4C6"/>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C6"/>
    <w:rPr>
      <w:rFonts w:asciiTheme="majorHAnsi" w:eastAsiaTheme="majorEastAsia" w:hAnsiTheme="majorHAnsi" w:cstheme="majorBidi"/>
      <w:b/>
      <w:sz w:val="32"/>
      <w:szCs w:val="32"/>
    </w:rPr>
  </w:style>
  <w:style w:type="paragraph" w:styleId="ListParagraph">
    <w:name w:val="List Paragraph"/>
    <w:basedOn w:val="Normal"/>
    <w:uiPriority w:val="34"/>
    <w:qFormat/>
    <w:rsid w:val="000A6C29"/>
    <w:pPr>
      <w:ind w:left="720"/>
      <w:contextualSpacing/>
    </w:pPr>
  </w:style>
  <w:style w:type="paragraph" w:styleId="NormalWeb">
    <w:name w:val="Normal (Web)"/>
    <w:basedOn w:val="Normal"/>
    <w:uiPriority w:val="99"/>
    <w:unhideWhenUsed/>
    <w:rsid w:val="003F39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39591">
      <w:bodyDiv w:val="1"/>
      <w:marLeft w:val="0"/>
      <w:marRight w:val="0"/>
      <w:marTop w:val="0"/>
      <w:marBottom w:val="0"/>
      <w:divBdr>
        <w:top w:val="none" w:sz="0" w:space="0" w:color="auto"/>
        <w:left w:val="none" w:sz="0" w:space="0" w:color="auto"/>
        <w:bottom w:val="none" w:sz="0" w:space="0" w:color="auto"/>
        <w:right w:val="none" w:sz="0" w:space="0" w:color="auto"/>
      </w:divBdr>
    </w:div>
    <w:div w:id="1183131982">
      <w:bodyDiv w:val="1"/>
      <w:marLeft w:val="0"/>
      <w:marRight w:val="0"/>
      <w:marTop w:val="0"/>
      <w:marBottom w:val="0"/>
      <w:divBdr>
        <w:top w:val="none" w:sz="0" w:space="0" w:color="auto"/>
        <w:left w:val="none" w:sz="0" w:space="0" w:color="auto"/>
        <w:bottom w:val="none" w:sz="0" w:space="0" w:color="auto"/>
        <w:right w:val="none" w:sz="0" w:space="0" w:color="auto"/>
      </w:divBdr>
    </w:div>
    <w:div w:id="1535580250">
      <w:bodyDiv w:val="1"/>
      <w:marLeft w:val="0"/>
      <w:marRight w:val="0"/>
      <w:marTop w:val="0"/>
      <w:marBottom w:val="0"/>
      <w:divBdr>
        <w:top w:val="none" w:sz="0" w:space="0" w:color="auto"/>
        <w:left w:val="none" w:sz="0" w:space="0" w:color="auto"/>
        <w:bottom w:val="none" w:sz="0" w:space="0" w:color="auto"/>
        <w:right w:val="none" w:sz="0" w:space="0" w:color="auto"/>
      </w:divBdr>
    </w:div>
    <w:div w:id="1688753503">
      <w:bodyDiv w:val="1"/>
      <w:marLeft w:val="0"/>
      <w:marRight w:val="0"/>
      <w:marTop w:val="0"/>
      <w:marBottom w:val="0"/>
      <w:divBdr>
        <w:top w:val="none" w:sz="0" w:space="0" w:color="auto"/>
        <w:left w:val="none" w:sz="0" w:space="0" w:color="auto"/>
        <w:bottom w:val="none" w:sz="0" w:space="0" w:color="auto"/>
        <w:right w:val="none" w:sz="0" w:space="0" w:color="auto"/>
      </w:divBdr>
    </w:div>
    <w:div w:id="17029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East</dc:creator>
  <cp:keywords/>
  <dc:description/>
  <cp:lastModifiedBy>Eric East</cp:lastModifiedBy>
  <cp:revision>4</cp:revision>
  <dcterms:created xsi:type="dcterms:W3CDTF">2022-02-09T01:05:00Z</dcterms:created>
  <dcterms:modified xsi:type="dcterms:W3CDTF">2022-02-09T01:42:00Z</dcterms:modified>
</cp:coreProperties>
</file>