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команды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Успеха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проекта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INFINITY-Store - официальный интернет-магазин мерча СЦО “INFINITY”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Проблема, которую решаем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Разрозненность продаж - нет единой платформы, где можно посмотреть товары; Сложность учёта - тяжело отследить остатки, размеры и популярность моделей; Потеря потенциальных покупателей - люди, которые хотят поддержать отряд или купить мерч, не знают, где и как это сделать.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Веб-сайт (адаптивный, с мобильной версией) с функциями интернет-магазина: Каталогом товаров с фильтрами по размеру, цвету, коллекции; корзиной и возможностью оформления заказа; личным кабинетом с историей заказов; информационными блоками(об отряде, контакты, доставка, FAQ); админ-панелью(управление товарами, остатками и заказами)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Бойцы нашего и других отрядов, студенты, которые хотят поддержать отряд, родственники и друзья бойцов.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Запущенный сайт с каталогом не менее 5-10 позиций мерча;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Охват: Не менее 100 уникальных посетителей за первый месяц после запуска;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Удобство: Наличие мобильной версии и времени загрузки страницы Б&lt;2 секунд.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должно быть готово к концу проекта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Техническая часть: Рабочий сайт, подключенный хостинг, настроенная админ-панель;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Контент: Загруженные фото товаров, описания, размерная сетка;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Процессы: Регламент обработки заказов;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Маркетинг: Мини-стратегия продвижения (анонс в соцсетях отряда);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Документация: Инструкция для администратора магазина.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Предварительный срок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Июнь 2027 года (конец второго семестра второго курса).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Стейкхолдеры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.899295482802"/>
        <w:gridCol w:w="2707.8325735598846"/>
        <w:gridCol w:w="1624.6995441359306"/>
        <w:gridCol w:w="2510.899295482802"/>
        <w:tblGridChange w:id="0">
          <w:tblGrid>
            <w:gridCol w:w="2510.899295482802"/>
            <w:gridCol w:w="2707.8325735598846"/>
            <w:gridCol w:w="1624.6995441359306"/>
            <w:gridCol w:w="2510.89929548280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Стейкхолдер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Роль / Интерес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Влияние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Стратегия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Команда проекта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Создание продукта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Высокое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Вовлекать, мотивировать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Руководство отряда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Контроль, бюджет, имидж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Высокое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Согласовывать, отчитываться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Бойцы отряда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Пользователи, амбассадоры, целевая аудитория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Среднее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Информировать, вовлекать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Студенты, бойцы других отрядов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Целевая аудитория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Высокое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Привлекать, удерживать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Поставщики мерча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Производство товаров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Среднее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Договоры, сроки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Платёжные системы / хостинг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Техническая инфраструктура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Низкое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Работа на публичных тарифах и оферте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Штаб студенческих отрядов ДВФУ, Приморское региональное отделение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Согласование символики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Среднее</w:t>
            </w:r>
          </w:p>
        </w:tc>
        <w:tc>
          <w:tcPr>
            <w:tcBorders>
              <w:top w:color="151517" w:space="0" w:sz="8" w:val="single"/>
              <w:left w:color="151517" w:space="0" w:sz="8" w:val="single"/>
              <w:bottom w:color="151517" w:space="0" w:sz="8" w:val="single"/>
              <w:right w:color="151517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f9fafb" w:val="clear"/>
                <w:rtl w:val="0"/>
              </w:rPr>
              <w:t xml:space="preserve">Согласовать, соблюдать правила</w:t>
            </w:r>
          </w:p>
        </w:tc>
      </w:tr>
    </w:tbl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shd w:fill="f9fafb" w:val="clear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51517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