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sz w:val="38"/>
          <w:szCs w:val="38"/>
        </w:rPr>
      </w:pPr>
      <w:r w:rsidDel="00000000" w:rsidR="00000000" w:rsidRPr="00000000">
        <w:rPr>
          <w:b w:val="1"/>
          <w:sz w:val="38"/>
          <w:szCs w:val="38"/>
          <w:rtl w:val="0"/>
        </w:rPr>
        <w:t xml:space="preserve">Wind Energy Visualization in Europe (2015–2024)</w:t>
      </w:r>
    </w:p>
    <w:p w:rsidR="00000000" w:rsidDel="00000000" w:rsidP="00000000" w:rsidRDefault="00000000" w:rsidRPr="00000000" w14:paraId="00000002">
      <w:pPr>
        <w:pStyle w:val="Heading1"/>
        <w:keepNext w:val="0"/>
        <w:keepLines w:val="0"/>
        <w:spacing w:before="480" w:lineRule="auto"/>
        <w:rPr>
          <w:b w:val="1"/>
          <w:sz w:val="36"/>
          <w:szCs w:val="36"/>
        </w:rPr>
      </w:pPr>
      <w:bookmarkStart w:colFirst="0" w:colLast="0" w:name="_bdb3yfck1a6b" w:id="0"/>
      <w:bookmarkEnd w:id="0"/>
      <w:r w:rsidDel="00000000" w:rsidR="00000000" w:rsidRPr="00000000">
        <w:rPr>
          <w:b w:val="1"/>
          <w:sz w:val="36"/>
          <w:szCs w:val="36"/>
          <w:rtl w:val="0"/>
        </w:rPr>
        <w:t xml:space="preserve">Interactive Website Overview</w:t>
      </w:r>
    </w:p>
    <w:p w:rsidR="00000000" w:rsidDel="00000000" w:rsidP="00000000" w:rsidRDefault="00000000" w:rsidRPr="00000000" w14:paraId="00000003">
      <w:pPr>
        <w:rPr>
          <w:sz w:val="26"/>
          <w:szCs w:val="26"/>
        </w:rPr>
      </w:pPr>
      <w:r w:rsidDel="00000000" w:rsidR="00000000" w:rsidRPr="00000000">
        <w:rPr>
          <w:sz w:val="26"/>
          <w:szCs w:val="26"/>
          <w:rtl w:val="0"/>
        </w:rPr>
        <w:t xml:space="preserve">Author</w:t>
      </w:r>
      <w:r w:rsidDel="00000000" w:rsidR="00000000" w:rsidRPr="00000000">
        <w:rPr>
          <w:b w:val="1"/>
          <w:sz w:val="26"/>
          <w:szCs w:val="26"/>
          <w:rtl w:val="0"/>
        </w:rPr>
        <w:t xml:space="preserve">:</w:t>
      </w:r>
      <w:r w:rsidDel="00000000" w:rsidR="00000000" w:rsidRPr="00000000">
        <w:rPr>
          <w:sz w:val="26"/>
          <w:szCs w:val="26"/>
          <w:rtl w:val="0"/>
        </w:rPr>
        <w:t xml:space="preserve"> Akezhan Yergali 57320</w:t>
      </w:r>
    </w:p>
    <w:p w:rsidR="00000000" w:rsidDel="00000000" w:rsidP="00000000" w:rsidRDefault="00000000" w:rsidRPr="00000000" w14:paraId="00000004">
      <w:pPr>
        <w:rPr>
          <w:sz w:val="26"/>
          <w:szCs w:val="26"/>
        </w:rPr>
      </w:pPr>
      <w:r w:rsidDel="00000000" w:rsidR="00000000" w:rsidRPr="00000000">
        <w:rPr>
          <w:sz w:val="26"/>
          <w:szCs w:val="26"/>
          <w:rtl w:val="0"/>
        </w:rPr>
        <w:t xml:space="preserve">Date</w:t>
      </w:r>
      <w:r w:rsidDel="00000000" w:rsidR="00000000" w:rsidRPr="00000000">
        <w:rPr>
          <w:b w:val="1"/>
          <w:sz w:val="26"/>
          <w:szCs w:val="26"/>
          <w:rtl w:val="0"/>
        </w:rPr>
        <w:t xml:space="preserve">:</w:t>
      </w:r>
      <w:r w:rsidDel="00000000" w:rsidR="00000000" w:rsidRPr="00000000">
        <w:rPr>
          <w:sz w:val="26"/>
          <w:szCs w:val="26"/>
          <w:rtl w:val="0"/>
        </w:rPr>
        <w:t xml:space="preserve"> July 2025</w:t>
      </w:r>
    </w:p>
    <w:p w:rsidR="00000000" w:rsidDel="00000000" w:rsidP="00000000" w:rsidRDefault="00000000" w:rsidRPr="00000000" w14:paraId="00000005">
      <w:pPr>
        <w:rPr>
          <w:sz w:val="26"/>
          <w:szCs w:val="26"/>
        </w:rPr>
      </w:pPr>
      <w:r w:rsidDel="00000000" w:rsidR="00000000" w:rsidRPr="00000000">
        <w:rPr>
          <w:sz w:val="26"/>
          <w:szCs w:val="26"/>
          <w:rtl w:val="0"/>
        </w:rPr>
        <w:t xml:space="preserve">Course: Information Visualization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0</w:t>
      </w:r>
      <w:r w:rsidDel="00000000" w:rsidR="00000000" w:rsidRPr="00000000">
        <w:rPr>
          <w:sz w:val="28"/>
          <w:szCs w:val="28"/>
          <w:rtl w:val="0"/>
        </w:rPr>
        <w:t xml:space="preserve">. </w:t>
      </w:r>
      <w:r w:rsidDel="00000000" w:rsidR="00000000" w:rsidRPr="00000000">
        <w:rPr>
          <w:b w:val="1"/>
          <w:sz w:val="28"/>
          <w:szCs w:val="28"/>
          <w:rtl w:val="0"/>
        </w:rPr>
        <w:t xml:space="preserve">Introduction Section </w:t>
      </w:r>
    </w:p>
    <w:p w:rsidR="00000000" w:rsidDel="00000000" w:rsidP="00000000" w:rsidRDefault="00000000" w:rsidRPr="00000000" w14:paraId="00000008">
      <w:pPr>
        <w:rPr>
          <w:b w:val="1"/>
          <w:sz w:val="26"/>
          <w:szCs w:val="26"/>
        </w:rPr>
      </w:pPr>
      <w:r w:rsidDel="00000000" w:rsidR="00000000" w:rsidRPr="00000000">
        <w:rPr>
          <w:rtl w:val="0"/>
        </w:rPr>
      </w:r>
    </w:p>
    <w:p w:rsidR="00000000" w:rsidDel="00000000" w:rsidP="00000000" w:rsidRDefault="00000000" w:rsidRPr="00000000" w14:paraId="00000009">
      <w:pPr>
        <w:rPr>
          <w:b w:val="1"/>
          <w:sz w:val="26"/>
          <w:szCs w:val="26"/>
        </w:rPr>
      </w:pPr>
      <w:r w:rsidDel="00000000" w:rsidR="00000000" w:rsidRPr="00000000">
        <w:rPr>
          <w:b w:val="1"/>
          <w:sz w:val="26"/>
          <w:szCs w:val="26"/>
        </w:rPr>
        <w:drawing>
          <wp:inline distB="114300" distT="114300" distL="114300" distR="114300">
            <wp:extent cx="5731200" cy="2374900"/>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240" w:before="240" w:lineRule="auto"/>
        <w:rPr>
          <w:sz w:val="26"/>
          <w:szCs w:val="26"/>
        </w:rPr>
      </w:pPr>
      <w:r w:rsidDel="00000000" w:rsidR="00000000" w:rsidRPr="00000000">
        <w:rPr>
          <w:b w:val="1"/>
          <w:sz w:val="26"/>
          <w:szCs w:val="26"/>
          <w:rtl w:val="0"/>
        </w:rPr>
        <w:t xml:space="preserve">Description:</w:t>
        <w:br w:type="textWrapping"/>
        <w:t xml:space="preserve"> </w:t>
      </w:r>
      <w:r w:rsidDel="00000000" w:rsidR="00000000" w:rsidRPr="00000000">
        <w:rPr>
          <w:sz w:val="26"/>
          <w:szCs w:val="26"/>
          <w:rtl w:val="0"/>
        </w:rPr>
        <w:t xml:space="preserve">This is the opening section of the website. It introduces the key questions the project aims to explore, such as:</w:t>
      </w:r>
    </w:p>
    <w:p w:rsidR="00000000" w:rsidDel="00000000" w:rsidP="00000000" w:rsidRDefault="00000000" w:rsidRPr="00000000" w14:paraId="0000000B">
      <w:pPr>
        <w:numPr>
          <w:ilvl w:val="0"/>
          <w:numId w:val="10"/>
        </w:numPr>
        <w:spacing w:after="0" w:afterAutospacing="0" w:before="240" w:lineRule="auto"/>
        <w:ind w:left="720" w:hanging="360"/>
        <w:rPr>
          <w:sz w:val="26"/>
          <w:szCs w:val="26"/>
        </w:rPr>
      </w:pPr>
      <w:r w:rsidDel="00000000" w:rsidR="00000000" w:rsidRPr="00000000">
        <w:rPr>
          <w:sz w:val="27"/>
          <w:szCs w:val="27"/>
          <w:highlight w:val="white"/>
          <w:rtl w:val="0"/>
        </w:rPr>
        <w:t xml:space="preserve">Which European countries lead in wind power capacity and infrastructure?</w:t>
      </w:r>
      <w:r w:rsidDel="00000000" w:rsidR="00000000" w:rsidRPr="00000000">
        <w:rPr>
          <w:rtl w:val="0"/>
        </w:rPr>
      </w:r>
    </w:p>
    <w:p w:rsidR="00000000" w:rsidDel="00000000" w:rsidP="00000000" w:rsidRDefault="00000000" w:rsidRPr="00000000" w14:paraId="0000000C">
      <w:pPr>
        <w:numPr>
          <w:ilvl w:val="0"/>
          <w:numId w:val="10"/>
        </w:numPr>
        <w:spacing w:after="0" w:afterAutospacing="0" w:before="0" w:beforeAutospacing="0" w:lineRule="auto"/>
        <w:ind w:left="720" w:hanging="360"/>
        <w:rPr>
          <w:sz w:val="26"/>
          <w:szCs w:val="26"/>
        </w:rPr>
      </w:pPr>
      <w:r w:rsidDel="00000000" w:rsidR="00000000" w:rsidRPr="00000000">
        <w:rPr>
          <w:sz w:val="27"/>
          <w:szCs w:val="27"/>
          <w:highlight w:val="white"/>
          <w:rtl w:val="0"/>
        </w:rPr>
        <w:t xml:space="preserve">How has wind energy evolved across Europe in the last decade?</w:t>
      </w:r>
      <w:r w:rsidDel="00000000" w:rsidR="00000000" w:rsidRPr="00000000">
        <w:rPr>
          <w:sz w:val="26"/>
          <w:szCs w:val="26"/>
          <w:rtl w:val="0"/>
        </w:rPr>
        <w:br w:type="textWrapping"/>
      </w:r>
    </w:p>
    <w:p w:rsidR="00000000" w:rsidDel="00000000" w:rsidP="00000000" w:rsidRDefault="00000000" w:rsidRPr="00000000" w14:paraId="0000000D">
      <w:pPr>
        <w:numPr>
          <w:ilvl w:val="0"/>
          <w:numId w:val="10"/>
        </w:numPr>
        <w:spacing w:after="240" w:before="0" w:beforeAutospacing="0" w:lineRule="auto"/>
        <w:ind w:left="720" w:hanging="360"/>
        <w:rPr>
          <w:sz w:val="26"/>
          <w:szCs w:val="26"/>
        </w:rPr>
      </w:pPr>
      <w:r w:rsidDel="00000000" w:rsidR="00000000" w:rsidRPr="00000000">
        <w:rPr>
          <w:sz w:val="27"/>
          <w:szCs w:val="27"/>
          <w:highlight w:val="white"/>
          <w:rtl w:val="0"/>
        </w:rPr>
        <w:t xml:space="preserve">What role will wind power play in Europe's energy future?</w:t>
      </w:r>
    </w:p>
    <w:p w:rsidR="00000000" w:rsidDel="00000000" w:rsidP="00000000" w:rsidRDefault="00000000" w:rsidRPr="00000000" w14:paraId="0000000E">
      <w:pPr>
        <w:spacing w:after="240" w:before="240" w:lineRule="auto"/>
        <w:ind w:left="720" w:firstLine="0"/>
        <w:rPr>
          <w:b w:val="1"/>
          <w:sz w:val="27"/>
          <w:szCs w:val="27"/>
          <w:highlight w:val="white"/>
        </w:rPr>
      </w:pPr>
      <w:r w:rsidDel="00000000" w:rsidR="00000000" w:rsidRPr="00000000">
        <w:rPr>
          <w:b w:val="1"/>
          <w:sz w:val="27"/>
          <w:szCs w:val="27"/>
          <w:highlight w:val="white"/>
          <w:rtl w:val="0"/>
        </w:rPr>
        <w:t xml:space="preserve">Purpose:</w:t>
      </w:r>
    </w:p>
    <w:p w:rsidR="00000000" w:rsidDel="00000000" w:rsidP="00000000" w:rsidRDefault="00000000" w:rsidRPr="00000000" w14:paraId="0000000F">
      <w:pPr>
        <w:spacing w:after="240" w:before="240" w:lineRule="auto"/>
        <w:ind w:left="720" w:firstLine="0"/>
        <w:rPr>
          <w:sz w:val="27"/>
          <w:szCs w:val="27"/>
          <w:highlight w:val="white"/>
        </w:rPr>
      </w:pPr>
      <w:r w:rsidDel="00000000" w:rsidR="00000000" w:rsidRPr="00000000">
        <w:rPr>
          <w:sz w:val="27"/>
          <w:szCs w:val="27"/>
          <w:highlight w:val="white"/>
          <w:rtl w:val="0"/>
        </w:rPr>
        <w:t xml:space="preserve">This section sets the stage for the entire application. It frames the motivation and invites the user to explore the interactive elements below. It aligns directly with the project’s hypotheses and narrative structure.</w:t>
      </w:r>
    </w:p>
    <w:p w:rsidR="00000000" w:rsidDel="00000000" w:rsidP="00000000" w:rsidRDefault="00000000" w:rsidRPr="00000000" w14:paraId="00000010">
      <w:pPr>
        <w:spacing w:after="240" w:before="240" w:lineRule="auto"/>
        <w:ind w:left="720" w:firstLine="0"/>
        <w:rPr>
          <w:sz w:val="27"/>
          <w:szCs w:val="27"/>
          <w:highlight w:val="white"/>
        </w:rPr>
      </w:pPr>
      <w:r w:rsidDel="00000000" w:rsidR="00000000" w:rsidRPr="00000000">
        <w:rPr>
          <w:rtl w:val="0"/>
        </w:rPr>
      </w:r>
    </w:p>
    <w:p w:rsidR="00000000" w:rsidDel="00000000" w:rsidP="00000000" w:rsidRDefault="00000000" w:rsidRPr="00000000" w14:paraId="00000011">
      <w:pPr>
        <w:rPr>
          <w:sz w:val="27"/>
          <w:szCs w:val="27"/>
          <w:highlight w:val="white"/>
        </w:rPr>
      </w:pPr>
      <w:r w:rsidDel="00000000" w:rsidR="00000000" w:rsidRPr="00000000">
        <w:rPr>
          <w:sz w:val="28"/>
          <w:szCs w:val="28"/>
          <w:rtl w:val="0"/>
        </w:rPr>
        <w:t xml:space="preserve"> 1. </w:t>
      </w:r>
      <w:r w:rsidDel="00000000" w:rsidR="00000000" w:rsidRPr="00000000">
        <w:rPr>
          <w:b w:val="1"/>
          <w:sz w:val="28"/>
          <w:szCs w:val="28"/>
          <w:rtl w:val="0"/>
        </w:rPr>
        <w:t xml:space="preserve">Interactive Map: Wind Energy Presence in Europe</w:t>
      </w:r>
      <w:r w:rsidDel="00000000" w:rsidR="00000000" w:rsidRPr="00000000">
        <w:rPr>
          <w:rtl w:val="0"/>
        </w:rPr>
      </w:r>
    </w:p>
    <w:p w:rsidR="00000000" w:rsidDel="00000000" w:rsidP="00000000" w:rsidRDefault="00000000" w:rsidRPr="00000000" w14:paraId="00000012">
      <w:pPr>
        <w:spacing w:after="240" w:before="240" w:lineRule="auto"/>
        <w:ind w:left="720" w:firstLine="0"/>
        <w:rPr>
          <w:sz w:val="27"/>
          <w:szCs w:val="27"/>
          <w:highlight w:val="white"/>
        </w:rPr>
      </w:pPr>
      <w:r w:rsidDel="00000000" w:rsidR="00000000" w:rsidRPr="00000000">
        <w:rPr>
          <w:sz w:val="27"/>
          <w:szCs w:val="27"/>
          <w:highlight w:val="white"/>
        </w:rPr>
        <w:drawing>
          <wp:inline distB="114300" distT="114300" distL="114300" distR="114300">
            <wp:extent cx="4881563" cy="2400768"/>
            <wp:effectExtent b="0" l="0" r="0" t="0"/>
            <wp:docPr id="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4881563" cy="2400768"/>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240" w:before="240" w:lineRule="auto"/>
        <w:rPr>
          <w:sz w:val="26"/>
          <w:szCs w:val="26"/>
        </w:rPr>
      </w:pPr>
      <w:r w:rsidDel="00000000" w:rsidR="00000000" w:rsidRPr="00000000">
        <w:rPr>
          <w:b w:val="1"/>
          <w:sz w:val="26"/>
          <w:szCs w:val="26"/>
          <w:rtl w:val="0"/>
        </w:rPr>
        <w:t xml:space="preserve">Description:</w:t>
        <w:br w:type="textWrapping"/>
        <w:t xml:space="preserve"> </w:t>
      </w:r>
      <w:r w:rsidDel="00000000" w:rsidR="00000000" w:rsidRPr="00000000">
        <w:rPr>
          <w:sz w:val="26"/>
          <w:szCs w:val="26"/>
          <w:rtl w:val="0"/>
        </w:rPr>
        <w:t xml:space="preserve">This map visualizes the presence of wind energy infrastructure across European countries. Each country is represented with a clickable label that opens a modal window containing key data:</w:t>
      </w:r>
    </w:p>
    <w:p w:rsidR="00000000" w:rsidDel="00000000" w:rsidP="00000000" w:rsidRDefault="00000000" w:rsidRPr="00000000" w14:paraId="00000014">
      <w:pPr>
        <w:numPr>
          <w:ilvl w:val="0"/>
          <w:numId w:val="8"/>
        </w:numPr>
        <w:spacing w:after="0" w:afterAutospacing="0" w:before="240" w:lineRule="auto"/>
        <w:ind w:left="720" w:hanging="360"/>
        <w:rPr>
          <w:sz w:val="26"/>
          <w:szCs w:val="26"/>
        </w:rPr>
      </w:pPr>
      <w:r w:rsidDel="00000000" w:rsidR="00000000" w:rsidRPr="00000000">
        <w:rPr>
          <w:sz w:val="26"/>
          <w:szCs w:val="26"/>
          <w:rtl w:val="0"/>
        </w:rPr>
        <w:t xml:space="preserve">Total number of wind turbines</w:t>
        <w:br w:type="textWrapping"/>
      </w:r>
    </w:p>
    <w:p w:rsidR="00000000" w:rsidDel="00000000" w:rsidP="00000000" w:rsidRDefault="00000000" w:rsidRPr="00000000" w14:paraId="00000015">
      <w:pPr>
        <w:numPr>
          <w:ilvl w:val="0"/>
          <w:numId w:val="8"/>
        </w:numPr>
        <w:spacing w:after="0" w:afterAutospacing="0" w:before="0" w:beforeAutospacing="0" w:lineRule="auto"/>
        <w:ind w:left="720" w:hanging="360"/>
        <w:rPr>
          <w:sz w:val="26"/>
          <w:szCs w:val="26"/>
        </w:rPr>
      </w:pPr>
      <w:r w:rsidDel="00000000" w:rsidR="00000000" w:rsidRPr="00000000">
        <w:rPr>
          <w:sz w:val="26"/>
          <w:szCs w:val="26"/>
          <w:rtl w:val="0"/>
        </w:rPr>
        <w:t xml:space="preserve">Onshore and offshore capacity</w:t>
        <w:br w:type="textWrapping"/>
      </w:r>
    </w:p>
    <w:p w:rsidR="00000000" w:rsidDel="00000000" w:rsidP="00000000" w:rsidRDefault="00000000" w:rsidRPr="00000000" w14:paraId="00000016">
      <w:pPr>
        <w:numPr>
          <w:ilvl w:val="0"/>
          <w:numId w:val="8"/>
        </w:numPr>
        <w:spacing w:after="0" w:afterAutospacing="0" w:before="0" w:beforeAutospacing="0" w:lineRule="auto"/>
        <w:ind w:left="720" w:hanging="360"/>
        <w:rPr>
          <w:sz w:val="26"/>
          <w:szCs w:val="26"/>
        </w:rPr>
      </w:pPr>
      <w:r w:rsidDel="00000000" w:rsidR="00000000" w:rsidRPr="00000000">
        <w:rPr>
          <w:sz w:val="26"/>
          <w:szCs w:val="26"/>
          <w:rtl w:val="0"/>
        </w:rPr>
        <w:t xml:space="preserve">Annual production and revenue</w:t>
        <w:br w:type="textWrapping"/>
      </w:r>
    </w:p>
    <w:p w:rsidR="00000000" w:rsidDel="00000000" w:rsidP="00000000" w:rsidRDefault="00000000" w:rsidRPr="00000000" w14:paraId="00000017">
      <w:pPr>
        <w:numPr>
          <w:ilvl w:val="0"/>
          <w:numId w:val="8"/>
        </w:numPr>
        <w:spacing w:after="240" w:before="0" w:beforeAutospacing="0" w:lineRule="auto"/>
        <w:ind w:left="720" w:hanging="360"/>
        <w:rPr>
          <w:sz w:val="26"/>
          <w:szCs w:val="26"/>
        </w:rPr>
      </w:pPr>
      <w:r w:rsidDel="00000000" w:rsidR="00000000" w:rsidRPr="00000000">
        <w:rPr>
          <w:sz w:val="26"/>
          <w:szCs w:val="26"/>
          <w:rtl w:val="0"/>
        </w:rPr>
        <w:t xml:space="preserve">Export volume and average wind speed</w:t>
        <w:br w:type="textWrapping"/>
      </w:r>
    </w:p>
    <w:p w:rsidR="00000000" w:rsidDel="00000000" w:rsidP="00000000" w:rsidRDefault="00000000" w:rsidRPr="00000000" w14:paraId="00000018">
      <w:pPr>
        <w:spacing w:after="240" w:before="240" w:lineRule="auto"/>
        <w:rPr>
          <w:sz w:val="26"/>
          <w:szCs w:val="26"/>
        </w:rPr>
      </w:pPr>
      <w:r w:rsidDel="00000000" w:rsidR="00000000" w:rsidRPr="00000000">
        <w:rPr>
          <w:b w:val="1"/>
          <w:sz w:val="26"/>
          <w:szCs w:val="26"/>
          <w:rtl w:val="0"/>
        </w:rPr>
        <w:t xml:space="preserve">Technology:</w:t>
        <w:br w:type="textWrapping"/>
      </w:r>
      <w:r w:rsidDel="00000000" w:rsidR="00000000" w:rsidRPr="00000000">
        <w:rPr>
          <w:sz w:val="26"/>
          <w:szCs w:val="26"/>
          <w:rtl w:val="0"/>
        </w:rPr>
        <w:t xml:space="preserve"> Implemented using Leaflet.js, which enables fast, interactive and mobile-friendly geospatial rendering.</w:t>
      </w:r>
    </w:p>
    <w:p w:rsidR="00000000" w:rsidDel="00000000" w:rsidP="00000000" w:rsidRDefault="00000000" w:rsidRPr="00000000" w14:paraId="00000019">
      <w:pPr>
        <w:spacing w:after="240" w:before="240" w:lineRule="auto"/>
        <w:rPr>
          <w:sz w:val="26"/>
          <w:szCs w:val="26"/>
        </w:rPr>
      </w:pPr>
      <w:r w:rsidDel="00000000" w:rsidR="00000000" w:rsidRPr="00000000">
        <w:rPr>
          <w:b w:val="1"/>
          <w:sz w:val="26"/>
          <w:szCs w:val="26"/>
          <w:rtl w:val="0"/>
        </w:rPr>
        <w:t xml:space="preserve">Purpose:</w:t>
        <w:br w:type="textWrapping"/>
      </w:r>
      <w:r w:rsidDel="00000000" w:rsidR="00000000" w:rsidRPr="00000000">
        <w:rPr>
          <w:sz w:val="26"/>
          <w:szCs w:val="26"/>
          <w:rtl w:val="0"/>
        </w:rPr>
        <w:t xml:space="preserve"> This serves as the core navigation interface for the entire visualization. It gives users a bird’s-eye view of Europe’s wind power landscape and allows for focused exploration of each country. The layout reflects both political borders and regional clustering</w:t>
      </w:r>
    </w:p>
    <w:p w:rsidR="00000000" w:rsidDel="00000000" w:rsidP="00000000" w:rsidRDefault="00000000" w:rsidRPr="00000000" w14:paraId="0000001A">
      <w:pPr>
        <w:spacing w:after="240" w:before="240" w:lineRule="auto"/>
        <w:rPr>
          <w:sz w:val="26"/>
          <w:szCs w:val="26"/>
        </w:rPr>
      </w:pPr>
      <w:r w:rsidDel="00000000" w:rsidR="00000000" w:rsidRPr="00000000">
        <w:rPr>
          <w:rtl w:val="0"/>
        </w:rPr>
      </w:r>
    </w:p>
    <w:p w:rsidR="00000000" w:rsidDel="00000000" w:rsidP="00000000" w:rsidRDefault="00000000" w:rsidRPr="00000000" w14:paraId="0000001B">
      <w:pPr>
        <w:spacing w:after="240" w:before="240" w:lineRule="auto"/>
        <w:rPr>
          <w:sz w:val="28"/>
          <w:szCs w:val="28"/>
        </w:rPr>
      </w:pPr>
      <w:r w:rsidDel="00000000" w:rsidR="00000000" w:rsidRPr="00000000">
        <w:rPr>
          <w:rtl w:val="0"/>
        </w:rPr>
      </w:r>
    </w:p>
    <w:p w:rsidR="00000000" w:rsidDel="00000000" w:rsidP="00000000" w:rsidRDefault="00000000" w:rsidRPr="00000000" w14:paraId="0000001C">
      <w:pPr>
        <w:spacing w:after="240" w:before="240" w:lineRule="auto"/>
        <w:rPr>
          <w:b w:val="1"/>
          <w:sz w:val="28"/>
          <w:szCs w:val="28"/>
        </w:rPr>
      </w:pPr>
      <w:r w:rsidDel="00000000" w:rsidR="00000000" w:rsidRPr="00000000">
        <w:rPr>
          <w:sz w:val="28"/>
          <w:szCs w:val="28"/>
          <w:rtl w:val="0"/>
        </w:rPr>
        <w:t xml:space="preserve"> 2. </w:t>
      </w:r>
      <w:r w:rsidDel="00000000" w:rsidR="00000000" w:rsidRPr="00000000">
        <w:rPr>
          <w:b w:val="1"/>
          <w:sz w:val="28"/>
          <w:szCs w:val="28"/>
          <w:rtl w:val="0"/>
        </w:rPr>
        <w:t xml:space="preserve">Comparative Bar Chart: Wind Energy Metrics</w:t>
      </w:r>
    </w:p>
    <w:p w:rsidR="00000000" w:rsidDel="00000000" w:rsidP="00000000" w:rsidRDefault="00000000" w:rsidRPr="00000000" w14:paraId="0000001D">
      <w:pPr>
        <w:spacing w:after="240" w:before="240" w:lineRule="auto"/>
        <w:rPr>
          <w:b w:val="1"/>
          <w:sz w:val="28"/>
          <w:szCs w:val="28"/>
        </w:rPr>
      </w:pPr>
      <w:r w:rsidDel="00000000" w:rsidR="00000000" w:rsidRPr="00000000">
        <w:rPr>
          <w:b w:val="1"/>
          <w:sz w:val="28"/>
          <w:szCs w:val="28"/>
        </w:rPr>
        <w:drawing>
          <wp:inline distB="114300" distT="114300" distL="114300" distR="114300">
            <wp:extent cx="5731200" cy="256540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240" w:before="240" w:lineRule="auto"/>
        <w:rPr>
          <w:sz w:val="24"/>
          <w:szCs w:val="24"/>
        </w:rPr>
      </w:pPr>
      <w:r w:rsidDel="00000000" w:rsidR="00000000" w:rsidRPr="00000000">
        <w:rPr>
          <w:b w:val="1"/>
          <w:sz w:val="24"/>
          <w:szCs w:val="24"/>
          <w:rtl w:val="0"/>
        </w:rPr>
        <w:t xml:space="preserve">Description:</w:t>
        <w:br w:type="textWrapping"/>
      </w:r>
      <w:r w:rsidDel="00000000" w:rsidR="00000000" w:rsidRPr="00000000">
        <w:rPr>
          <w:sz w:val="24"/>
          <w:szCs w:val="24"/>
          <w:rtl w:val="0"/>
        </w:rPr>
        <w:t xml:space="preserve"> This interactive bar chart allows users to compare wind energy indicators across more than 40 European countries.</w:t>
        <w:br w:type="textWrapping"/>
        <w:t xml:space="preserve"> The following parameters can be selected via buttons on the right side:</w:t>
      </w:r>
    </w:p>
    <w:p w:rsidR="00000000" w:rsidDel="00000000" w:rsidP="00000000" w:rsidRDefault="00000000" w:rsidRPr="00000000" w14:paraId="0000001F">
      <w:pPr>
        <w:numPr>
          <w:ilvl w:val="0"/>
          <w:numId w:val="4"/>
        </w:numPr>
        <w:spacing w:after="0" w:afterAutospacing="0" w:before="240" w:lineRule="auto"/>
        <w:ind w:left="720" w:hanging="360"/>
        <w:rPr>
          <w:sz w:val="24"/>
          <w:szCs w:val="24"/>
        </w:rPr>
      </w:pPr>
      <w:r w:rsidDel="00000000" w:rsidR="00000000" w:rsidRPr="00000000">
        <w:rPr>
          <w:sz w:val="24"/>
          <w:szCs w:val="24"/>
          <w:rtl w:val="0"/>
        </w:rPr>
        <w:t xml:space="preserve">Total Turbines</w:t>
        <w:br w:type="textWrapping"/>
      </w:r>
    </w:p>
    <w:p w:rsidR="00000000" w:rsidDel="00000000" w:rsidP="00000000" w:rsidRDefault="00000000" w:rsidRPr="00000000" w14:paraId="00000020">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Annual Production</w:t>
        <w:br w:type="textWrapping"/>
      </w:r>
    </w:p>
    <w:p w:rsidR="00000000" w:rsidDel="00000000" w:rsidP="00000000" w:rsidRDefault="00000000" w:rsidRPr="00000000" w14:paraId="00000021">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Revenue</w:t>
        <w:br w:type="textWrapping"/>
      </w:r>
    </w:p>
    <w:p w:rsidR="00000000" w:rsidDel="00000000" w:rsidP="00000000" w:rsidRDefault="00000000" w:rsidRPr="00000000" w14:paraId="00000022">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Exports</w:t>
        <w:br w:type="textWrapping"/>
      </w:r>
    </w:p>
    <w:p w:rsidR="00000000" w:rsidDel="00000000" w:rsidP="00000000" w:rsidRDefault="00000000" w:rsidRPr="00000000" w14:paraId="00000023">
      <w:pPr>
        <w:numPr>
          <w:ilvl w:val="0"/>
          <w:numId w:val="4"/>
        </w:numPr>
        <w:spacing w:after="240" w:before="0" w:beforeAutospacing="0" w:lineRule="auto"/>
        <w:ind w:left="720" w:hanging="360"/>
        <w:rPr>
          <w:sz w:val="24"/>
          <w:szCs w:val="24"/>
        </w:rPr>
      </w:pPr>
      <w:r w:rsidDel="00000000" w:rsidR="00000000" w:rsidRPr="00000000">
        <w:rPr>
          <w:sz w:val="24"/>
          <w:szCs w:val="24"/>
          <w:rtl w:val="0"/>
        </w:rPr>
        <w:t xml:space="preserve">Average Wind Speed</w:t>
        <w:br w:type="textWrapping"/>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All data is dynamically sourced from the map modal pop-ups, ensuring consistency across sections. Hovering shows exact values, and users can download the chart as an image directly from the toolbar.</w:t>
      </w:r>
    </w:p>
    <w:p w:rsidR="00000000" w:rsidDel="00000000" w:rsidP="00000000" w:rsidRDefault="00000000" w:rsidRPr="00000000" w14:paraId="00000025">
      <w:pPr>
        <w:spacing w:after="240" w:before="240" w:lineRule="auto"/>
        <w:rPr>
          <w:b w:val="1"/>
          <w:sz w:val="24"/>
          <w:szCs w:val="24"/>
        </w:rPr>
      </w:pPr>
      <w:r w:rsidDel="00000000" w:rsidR="00000000" w:rsidRPr="00000000">
        <w:rPr>
          <w:b w:val="1"/>
          <w:sz w:val="24"/>
          <w:szCs w:val="24"/>
          <w:rtl w:val="0"/>
        </w:rPr>
        <w:t xml:space="preserve">Technology:</w:t>
      </w:r>
    </w:p>
    <w:p w:rsidR="00000000" w:rsidDel="00000000" w:rsidP="00000000" w:rsidRDefault="00000000" w:rsidRPr="00000000" w14:paraId="00000026">
      <w:pPr>
        <w:spacing w:after="240" w:before="240" w:lineRule="auto"/>
        <w:rPr>
          <w:sz w:val="26"/>
          <w:szCs w:val="26"/>
        </w:rPr>
      </w:pPr>
      <w:r w:rsidDel="00000000" w:rsidR="00000000" w:rsidRPr="00000000">
        <w:rPr>
          <w:sz w:val="26"/>
          <w:szCs w:val="26"/>
          <w:rtl w:val="0"/>
        </w:rPr>
        <w:t xml:space="preserve">Built with Plotly.js, this chart supports responsive design, animations, and export functionality.</w:t>
      </w:r>
    </w:p>
    <w:p w:rsidR="00000000" w:rsidDel="00000000" w:rsidP="00000000" w:rsidRDefault="00000000" w:rsidRPr="00000000" w14:paraId="00000027">
      <w:pPr>
        <w:spacing w:after="240" w:before="240" w:lineRule="auto"/>
        <w:rPr>
          <w:sz w:val="26"/>
          <w:szCs w:val="26"/>
        </w:rPr>
      </w:pPr>
      <w:r w:rsidDel="00000000" w:rsidR="00000000" w:rsidRPr="00000000">
        <w:rPr>
          <w:b w:val="1"/>
          <w:sz w:val="24"/>
          <w:szCs w:val="24"/>
          <w:rtl w:val="0"/>
        </w:rPr>
        <w:t xml:space="preserve">Purpose:</w:t>
        <w:br w:type="textWrapping"/>
      </w:r>
      <w:r w:rsidDel="00000000" w:rsidR="00000000" w:rsidRPr="00000000">
        <w:rPr>
          <w:b w:val="1"/>
          <w:sz w:val="26"/>
          <w:szCs w:val="26"/>
          <w:rtl w:val="0"/>
        </w:rPr>
        <w:t xml:space="preserve"> </w:t>
      </w:r>
      <w:r w:rsidDel="00000000" w:rsidR="00000000" w:rsidRPr="00000000">
        <w:rPr>
          <w:sz w:val="26"/>
          <w:szCs w:val="26"/>
          <w:rtl w:val="0"/>
        </w:rPr>
        <w:t xml:space="preserve">This section allows direct country-by-country comparison based on user-selected criteria. It helps identify leaders and outliers in the European wind energy landscape with a clean and visual overview.</w:t>
      </w:r>
    </w:p>
    <w:p w:rsidR="00000000" w:rsidDel="00000000" w:rsidP="00000000" w:rsidRDefault="00000000" w:rsidRPr="00000000" w14:paraId="00000028">
      <w:pPr>
        <w:spacing w:after="240" w:before="240" w:lineRule="auto"/>
        <w:rPr>
          <w:b w:val="1"/>
          <w:sz w:val="28"/>
          <w:szCs w:val="28"/>
        </w:rPr>
      </w:pPr>
      <w:r w:rsidDel="00000000" w:rsidR="00000000" w:rsidRPr="00000000">
        <w:rPr>
          <w:b w:val="1"/>
          <w:sz w:val="28"/>
          <w:szCs w:val="28"/>
          <w:rtl w:val="0"/>
        </w:rPr>
        <w:t xml:space="preserve">3.Parallel coordinates chart: How has green energy evolved across Europe in the last decade?</w:t>
      </w:r>
    </w:p>
    <w:p w:rsidR="00000000" w:rsidDel="00000000" w:rsidP="00000000" w:rsidRDefault="00000000" w:rsidRPr="00000000" w14:paraId="00000029">
      <w:pPr>
        <w:spacing w:after="240" w:before="240" w:lineRule="auto"/>
        <w:rPr>
          <w:b w:val="1"/>
          <w:sz w:val="28"/>
          <w:szCs w:val="28"/>
        </w:rPr>
      </w:pPr>
      <w:r w:rsidDel="00000000" w:rsidR="00000000" w:rsidRPr="00000000">
        <w:rPr>
          <w:b w:val="1"/>
          <w:sz w:val="28"/>
          <w:szCs w:val="28"/>
        </w:rPr>
        <w:drawing>
          <wp:inline distB="114300" distT="114300" distL="114300" distR="114300">
            <wp:extent cx="4467225" cy="1849096"/>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467225" cy="1849096"/>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240" w:before="240" w:lineRule="auto"/>
        <w:rPr>
          <w:sz w:val="24"/>
          <w:szCs w:val="24"/>
        </w:rPr>
      </w:pPr>
      <w:r w:rsidDel="00000000" w:rsidR="00000000" w:rsidRPr="00000000">
        <w:rPr>
          <w:b w:val="1"/>
          <w:sz w:val="26"/>
          <w:szCs w:val="26"/>
          <w:rtl w:val="0"/>
        </w:rPr>
        <w:t xml:space="preserve">Description:</w:t>
        <w:br w:type="textWrapping"/>
      </w:r>
      <w:r w:rsidDel="00000000" w:rsidR="00000000" w:rsidRPr="00000000">
        <w:rPr>
          <w:sz w:val="24"/>
          <w:szCs w:val="24"/>
          <w:rtl w:val="0"/>
        </w:rPr>
        <w:t xml:space="preserve"> This section visualizes the growth of wind energy across Europe from 2015 to 2024. Two interactive line charts display:</w:t>
      </w:r>
    </w:p>
    <w:p w:rsidR="00000000" w:rsidDel="00000000" w:rsidP="00000000" w:rsidRDefault="00000000" w:rsidRPr="00000000" w14:paraId="0000002B">
      <w:pPr>
        <w:numPr>
          <w:ilvl w:val="0"/>
          <w:numId w:val="6"/>
        </w:numPr>
        <w:spacing w:after="0" w:afterAutospacing="0" w:before="240" w:lineRule="auto"/>
        <w:ind w:left="720" w:hanging="360"/>
        <w:rPr>
          <w:sz w:val="24"/>
          <w:szCs w:val="24"/>
        </w:rPr>
      </w:pPr>
      <w:r w:rsidDel="00000000" w:rsidR="00000000" w:rsidRPr="00000000">
        <w:rPr>
          <w:sz w:val="24"/>
          <w:szCs w:val="24"/>
          <w:rtl w:val="0"/>
        </w:rPr>
        <w:t xml:space="preserve"> Number of Wind Turbines</w:t>
      </w:r>
    </w:p>
    <w:p w:rsidR="00000000" w:rsidDel="00000000" w:rsidP="00000000" w:rsidRDefault="00000000" w:rsidRPr="00000000" w14:paraId="0000002C">
      <w:pPr>
        <w:numPr>
          <w:ilvl w:val="0"/>
          <w:numId w:val="6"/>
        </w:numPr>
        <w:spacing w:after="240" w:before="0" w:beforeAutospacing="0" w:lineRule="auto"/>
        <w:ind w:left="720" w:hanging="360"/>
        <w:rPr>
          <w:sz w:val="24"/>
          <w:szCs w:val="24"/>
        </w:rPr>
      </w:pPr>
      <w:r w:rsidDel="00000000" w:rsidR="00000000" w:rsidRPr="00000000">
        <w:rPr>
          <w:sz w:val="24"/>
          <w:szCs w:val="24"/>
          <w:rtl w:val="0"/>
        </w:rPr>
        <w:t xml:space="preserve"> Annual Energy Production</w:t>
      </w:r>
    </w:p>
    <w:p w:rsidR="00000000" w:rsidDel="00000000" w:rsidP="00000000" w:rsidRDefault="00000000" w:rsidRPr="00000000" w14:paraId="0000002D">
      <w:pPr>
        <w:spacing w:after="240" w:before="240" w:lineRule="auto"/>
        <w:rPr>
          <w:sz w:val="24"/>
          <w:szCs w:val="24"/>
        </w:rPr>
      </w:pPr>
      <w:r w:rsidDel="00000000" w:rsidR="00000000" w:rsidRPr="00000000">
        <w:rPr>
          <w:sz w:val="24"/>
          <w:szCs w:val="24"/>
          <w:rtl w:val="0"/>
        </w:rPr>
        <w:t xml:space="preserve">Users can switch views between:</w:t>
      </w:r>
    </w:p>
    <w:p w:rsidR="00000000" w:rsidDel="00000000" w:rsidP="00000000" w:rsidRDefault="00000000" w:rsidRPr="00000000" w14:paraId="0000002E">
      <w:pPr>
        <w:numPr>
          <w:ilvl w:val="0"/>
          <w:numId w:val="2"/>
        </w:numPr>
        <w:spacing w:after="0" w:afterAutospacing="0" w:before="240" w:lineRule="auto"/>
        <w:ind w:left="720" w:hanging="360"/>
        <w:rPr>
          <w:sz w:val="24"/>
          <w:szCs w:val="24"/>
        </w:rPr>
      </w:pPr>
      <w:r w:rsidDel="00000000" w:rsidR="00000000" w:rsidRPr="00000000">
        <w:rPr>
          <w:sz w:val="24"/>
          <w:szCs w:val="24"/>
          <w:rtl w:val="0"/>
        </w:rPr>
        <w:t xml:space="preserve"> Top 10 Countries for each metric</w:t>
      </w:r>
    </w:p>
    <w:p w:rsidR="00000000" w:rsidDel="00000000" w:rsidP="00000000" w:rsidRDefault="00000000" w:rsidRPr="00000000" w14:paraId="0000002F">
      <w:pPr>
        <w:numPr>
          <w:ilvl w:val="0"/>
          <w:numId w:val="2"/>
        </w:numPr>
        <w:spacing w:after="240" w:before="0" w:beforeAutospacing="0" w:lineRule="auto"/>
        <w:ind w:left="720" w:hanging="360"/>
        <w:rPr>
          <w:sz w:val="26"/>
          <w:szCs w:val="26"/>
        </w:rPr>
      </w:pPr>
      <w:r w:rsidDel="00000000" w:rsidR="00000000" w:rsidRPr="00000000">
        <w:rPr>
          <w:sz w:val="24"/>
          <w:szCs w:val="24"/>
          <w:rtl w:val="0"/>
        </w:rPr>
        <w:t xml:space="preserve"> Full list of 47 European countries for comprehensive comparison</w:t>
      </w:r>
      <w:r w:rsidDel="00000000" w:rsidR="00000000" w:rsidRPr="00000000">
        <w:rPr>
          <w:sz w:val="24"/>
          <w:szCs w:val="24"/>
        </w:rPr>
        <w:drawing>
          <wp:inline distB="114300" distT="114300" distL="114300" distR="114300">
            <wp:extent cx="6148388" cy="371475"/>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6148388"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 xml:space="preserve">The dynamic color-coded legend on the right allows easy identification of each country. Charts can be downloaded directly for use in reports and presentations.</w:t>
      </w:r>
    </w:p>
    <w:p w:rsidR="00000000" w:rsidDel="00000000" w:rsidP="00000000" w:rsidRDefault="00000000" w:rsidRPr="00000000" w14:paraId="00000031">
      <w:pPr>
        <w:spacing w:after="240" w:before="240" w:lineRule="auto"/>
        <w:rPr>
          <w:sz w:val="24"/>
          <w:szCs w:val="24"/>
        </w:rPr>
      </w:pPr>
      <w:r w:rsidDel="00000000" w:rsidR="00000000" w:rsidRPr="00000000">
        <w:rPr>
          <w:b w:val="1"/>
          <w:sz w:val="24"/>
          <w:szCs w:val="24"/>
          <w:rtl w:val="0"/>
        </w:rPr>
        <w:t xml:space="preserve">Technology:</w:t>
        <w:br w:type="textWrapping"/>
      </w:r>
      <w:r w:rsidDel="00000000" w:rsidR="00000000" w:rsidRPr="00000000">
        <w:rPr>
          <w:sz w:val="24"/>
          <w:szCs w:val="24"/>
          <w:rtl w:val="0"/>
        </w:rPr>
        <w:t xml:space="preserve"> Built with Plotly.js, featuring smooth animations, responsive layout, and timeline control.</w:t>
      </w:r>
    </w:p>
    <w:p w:rsidR="00000000" w:rsidDel="00000000" w:rsidP="00000000" w:rsidRDefault="00000000" w:rsidRPr="00000000" w14:paraId="00000032">
      <w:pPr>
        <w:spacing w:after="240" w:before="240" w:lineRule="auto"/>
        <w:rPr>
          <w:sz w:val="24"/>
          <w:szCs w:val="24"/>
        </w:rPr>
      </w:pPr>
      <w:r w:rsidDel="00000000" w:rsidR="00000000" w:rsidRPr="00000000">
        <w:rPr>
          <w:b w:val="1"/>
          <w:sz w:val="24"/>
          <w:szCs w:val="24"/>
          <w:rtl w:val="0"/>
        </w:rPr>
        <w:t xml:space="preserve">Purpose:</w:t>
        <w:br w:type="textWrapping"/>
      </w:r>
      <w:r w:rsidDel="00000000" w:rsidR="00000000" w:rsidRPr="00000000">
        <w:rPr>
          <w:sz w:val="24"/>
          <w:szCs w:val="24"/>
          <w:rtl w:val="0"/>
        </w:rPr>
        <w:t xml:space="preserve"> This visualization answers the key question:</w:t>
        <w:br w:type="textWrapping"/>
        <w:t xml:space="preserve"> “How has green energy evolved across Europe in the last decade?”</w:t>
      </w:r>
    </w:p>
    <w:p w:rsidR="00000000" w:rsidDel="00000000" w:rsidP="00000000" w:rsidRDefault="00000000" w:rsidRPr="00000000" w14:paraId="00000033">
      <w:pPr>
        <w:spacing w:after="240" w:before="240" w:lineRule="auto"/>
        <w:rPr>
          <w:sz w:val="24"/>
          <w:szCs w:val="24"/>
        </w:rPr>
      </w:pPr>
      <w:r w:rsidDel="00000000" w:rsidR="00000000" w:rsidRPr="00000000">
        <w:rPr>
          <w:sz w:val="24"/>
          <w:szCs w:val="24"/>
          <w:rtl w:val="0"/>
        </w:rPr>
        <w:t xml:space="preserve">It helps users:</w:t>
      </w:r>
    </w:p>
    <w:p w:rsidR="00000000" w:rsidDel="00000000" w:rsidP="00000000" w:rsidRDefault="00000000" w:rsidRPr="00000000" w14:paraId="00000034">
      <w:pPr>
        <w:numPr>
          <w:ilvl w:val="0"/>
          <w:numId w:val="3"/>
        </w:numPr>
        <w:spacing w:after="0" w:afterAutospacing="0" w:before="240" w:lineRule="auto"/>
        <w:ind w:left="720" w:hanging="360"/>
        <w:rPr>
          <w:sz w:val="24"/>
          <w:szCs w:val="24"/>
        </w:rPr>
      </w:pPr>
      <w:r w:rsidDel="00000000" w:rsidR="00000000" w:rsidRPr="00000000">
        <w:rPr>
          <w:sz w:val="24"/>
          <w:szCs w:val="24"/>
          <w:rtl w:val="0"/>
        </w:rPr>
        <w:t xml:space="preserve">Analyze growth trends across regions</w:t>
      </w:r>
    </w:p>
    <w:p w:rsidR="00000000" w:rsidDel="00000000" w:rsidP="00000000" w:rsidRDefault="00000000" w:rsidRPr="00000000" w14:paraId="00000035">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Identify consistent leaders (e.g., Germany, Denmark, Spain)</w:t>
      </w:r>
    </w:p>
    <w:p w:rsidR="00000000" w:rsidDel="00000000" w:rsidP="00000000" w:rsidRDefault="00000000" w:rsidRPr="00000000" w14:paraId="00000036">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Monitor progress in emerging markets</w:t>
      </w:r>
    </w:p>
    <w:p w:rsidR="00000000" w:rsidDel="00000000" w:rsidP="00000000" w:rsidRDefault="00000000" w:rsidRPr="00000000" w14:paraId="00000037">
      <w:pPr>
        <w:numPr>
          <w:ilvl w:val="0"/>
          <w:numId w:val="3"/>
        </w:numPr>
        <w:spacing w:after="240" w:before="0" w:beforeAutospacing="0" w:lineRule="auto"/>
        <w:ind w:left="720" w:hanging="360"/>
        <w:rPr>
          <w:sz w:val="24"/>
          <w:szCs w:val="24"/>
        </w:rPr>
      </w:pPr>
      <w:r w:rsidDel="00000000" w:rsidR="00000000" w:rsidRPr="00000000">
        <w:rPr>
          <w:sz w:val="24"/>
          <w:szCs w:val="24"/>
          <w:rtl w:val="0"/>
        </w:rPr>
        <w:t xml:space="preserve">Understand the effectiveness of policies and investments in renewable energy</w:t>
      </w:r>
    </w:p>
    <w:p w:rsidR="00000000" w:rsidDel="00000000" w:rsidP="00000000" w:rsidRDefault="00000000" w:rsidRPr="00000000" w14:paraId="00000038">
      <w:pPr>
        <w:spacing w:after="240" w:before="240" w:lineRule="auto"/>
        <w:rPr>
          <w:b w:val="1"/>
          <w:sz w:val="28"/>
          <w:szCs w:val="28"/>
        </w:rPr>
      </w:pPr>
      <w:r w:rsidDel="00000000" w:rsidR="00000000" w:rsidRPr="00000000">
        <w:rPr>
          <w:b w:val="1"/>
          <w:sz w:val="28"/>
          <w:szCs w:val="28"/>
          <w:rtl w:val="0"/>
        </w:rPr>
        <w:t xml:space="preserve">4. Comparative Bar Chart: CO₂ Savings and Fossil Dependency Reduction</w:t>
      </w:r>
      <w:r w:rsidDel="00000000" w:rsidR="00000000" w:rsidRPr="00000000">
        <w:rPr>
          <w:b w:val="1"/>
          <w:sz w:val="28"/>
          <w:szCs w:val="28"/>
        </w:rPr>
        <w:drawing>
          <wp:inline distB="114300" distT="114300" distL="114300" distR="114300">
            <wp:extent cx="5731200" cy="2108200"/>
            <wp:effectExtent b="0" l="0" r="0" t="0"/>
            <wp:docPr id="8"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240" w:before="240" w:lineRule="auto"/>
        <w:rPr>
          <w:sz w:val="24"/>
          <w:szCs w:val="24"/>
        </w:rPr>
      </w:pPr>
      <w:r w:rsidDel="00000000" w:rsidR="00000000" w:rsidRPr="00000000">
        <w:rPr>
          <w:b w:val="1"/>
          <w:sz w:val="24"/>
          <w:szCs w:val="24"/>
          <w:rtl w:val="0"/>
        </w:rPr>
        <w:t xml:space="preserve">Description:</w:t>
        <w:br w:type="textWrapping"/>
      </w:r>
      <w:r w:rsidDel="00000000" w:rsidR="00000000" w:rsidRPr="00000000">
        <w:rPr>
          <w:sz w:val="24"/>
          <w:szCs w:val="24"/>
          <w:rtl w:val="0"/>
        </w:rPr>
        <w:t xml:space="preserve"> This section presents two key environmental indicators that highlight the impact of wind energy expansion in Europe:</w:t>
      </w:r>
    </w:p>
    <w:p w:rsidR="00000000" w:rsidDel="00000000" w:rsidP="00000000" w:rsidRDefault="00000000" w:rsidRPr="00000000" w14:paraId="0000003A">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 CO₂ Saved by Wind Energy (in Megatonnes)</w:t>
        <w:br w:type="textWrapping"/>
        <w:t xml:space="preserve"> Year-over-year increase in carbon dioxide emissions avoided due to wind energy replacing fossil fuels.</w:t>
      </w:r>
    </w:p>
    <w:p w:rsidR="00000000" w:rsidDel="00000000" w:rsidP="00000000" w:rsidRDefault="00000000" w:rsidRPr="00000000" w14:paraId="0000003B">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 Reduction of Fossil Fuel Dependency (%)</w:t>
      </w:r>
    </w:p>
    <w:p w:rsidR="00000000" w:rsidDel="00000000" w:rsidP="00000000" w:rsidRDefault="00000000" w:rsidRPr="00000000" w14:paraId="0000003C">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 The decline in the share of coal, oil, and gas in the energy mix, thanks to the rise of wind power.</w:t>
        <w:br w:type="textWrapping"/>
      </w:r>
    </w:p>
    <w:p w:rsidR="00000000" w:rsidDel="00000000" w:rsidP="00000000" w:rsidRDefault="00000000" w:rsidRPr="00000000" w14:paraId="0000003D">
      <w:pPr>
        <w:spacing w:after="240" w:before="240" w:lineRule="auto"/>
        <w:rPr>
          <w:sz w:val="24"/>
          <w:szCs w:val="24"/>
        </w:rPr>
      </w:pPr>
      <w:r w:rsidDel="00000000" w:rsidR="00000000" w:rsidRPr="00000000">
        <w:rPr>
          <w:b w:val="1"/>
          <w:sz w:val="24"/>
          <w:szCs w:val="24"/>
          <w:rtl w:val="0"/>
        </w:rPr>
        <w:t xml:space="preserve">Insight:</w:t>
        <w:br w:type="textWrapping"/>
      </w:r>
      <w:r w:rsidDel="00000000" w:rsidR="00000000" w:rsidRPr="00000000">
        <w:rPr>
          <w:sz w:val="24"/>
          <w:szCs w:val="24"/>
          <w:rtl w:val="0"/>
        </w:rPr>
        <w:t xml:space="preserve"> Wind energy plays a crucial role in Europe's climate strategy by:</w:t>
      </w:r>
    </w:p>
    <w:p w:rsidR="00000000" w:rsidDel="00000000" w:rsidP="00000000" w:rsidRDefault="00000000" w:rsidRPr="00000000" w14:paraId="0000003E">
      <w:pPr>
        <w:numPr>
          <w:ilvl w:val="0"/>
          <w:numId w:val="11"/>
        </w:numPr>
        <w:spacing w:after="0" w:afterAutospacing="0" w:before="240" w:lineRule="auto"/>
        <w:ind w:left="720" w:hanging="360"/>
        <w:rPr>
          <w:sz w:val="24"/>
          <w:szCs w:val="24"/>
        </w:rPr>
      </w:pPr>
      <w:r w:rsidDel="00000000" w:rsidR="00000000" w:rsidRPr="00000000">
        <w:rPr>
          <w:sz w:val="24"/>
          <w:szCs w:val="24"/>
          <w:rtl w:val="0"/>
        </w:rPr>
        <w:t xml:space="preserve">Preventing over 330 million tons of CO₂ emissions in 2024 alone</w:t>
      </w:r>
    </w:p>
    <w:p w:rsidR="00000000" w:rsidDel="00000000" w:rsidP="00000000" w:rsidRDefault="00000000" w:rsidRPr="00000000" w14:paraId="0000003F">
      <w:pPr>
        <w:numPr>
          <w:ilvl w:val="0"/>
          <w:numId w:val="11"/>
        </w:numPr>
        <w:spacing w:after="0" w:afterAutospacing="0" w:before="0" w:beforeAutospacing="0" w:lineRule="auto"/>
        <w:ind w:left="720" w:hanging="360"/>
        <w:rPr>
          <w:sz w:val="24"/>
          <w:szCs w:val="24"/>
        </w:rPr>
      </w:pPr>
      <w:r w:rsidDel="00000000" w:rsidR="00000000" w:rsidRPr="00000000">
        <w:rPr>
          <w:sz w:val="24"/>
          <w:szCs w:val="24"/>
          <w:rtl w:val="0"/>
        </w:rPr>
        <w:t xml:space="preserve">Gradually lowering fossil fuel usage from ~38% in 2015 to under 28% in 2024</w:t>
      </w:r>
    </w:p>
    <w:p w:rsidR="00000000" w:rsidDel="00000000" w:rsidP="00000000" w:rsidRDefault="00000000" w:rsidRPr="00000000" w14:paraId="00000040">
      <w:pPr>
        <w:numPr>
          <w:ilvl w:val="0"/>
          <w:numId w:val="11"/>
        </w:numPr>
        <w:spacing w:after="240" w:before="0" w:beforeAutospacing="0" w:lineRule="auto"/>
        <w:ind w:left="720" w:hanging="360"/>
        <w:rPr>
          <w:sz w:val="24"/>
          <w:szCs w:val="24"/>
        </w:rPr>
      </w:pPr>
      <w:r w:rsidDel="00000000" w:rsidR="00000000" w:rsidRPr="00000000">
        <w:rPr>
          <w:sz w:val="24"/>
          <w:szCs w:val="24"/>
          <w:rtl w:val="0"/>
        </w:rPr>
        <w:t xml:space="preserve">Supporting national and EU-wide decarbonization goals and energy security</w:t>
        <w:br w:type="textWrapping"/>
      </w:r>
    </w:p>
    <w:p w:rsidR="00000000" w:rsidDel="00000000" w:rsidP="00000000" w:rsidRDefault="00000000" w:rsidRPr="00000000" w14:paraId="00000041">
      <w:pPr>
        <w:spacing w:after="240" w:before="240" w:lineRule="auto"/>
        <w:rPr>
          <w:sz w:val="24"/>
          <w:szCs w:val="24"/>
        </w:rPr>
      </w:pPr>
      <w:r w:rsidDel="00000000" w:rsidR="00000000" w:rsidRPr="00000000">
        <w:rPr>
          <w:b w:val="1"/>
          <w:sz w:val="24"/>
          <w:szCs w:val="24"/>
          <w:rtl w:val="0"/>
        </w:rPr>
        <w:t xml:space="preserve">Technology:</w:t>
      </w:r>
      <w:r w:rsidDel="00000000" w:rsidR="00000000" w:rsidRPr="00000000">
        <w:rPr>
          <w:sz w:val="24"/>
          <w:szCs w:val="24"/>
          <w:rtl w:val="0"/>
        </w:rPr>
        <w:br w:type="textWrapping"/>
        <w:t xml:space="preserve"> Built with Chart.js, both bar charts are fully responsive, styled for clarity, and provide tooltips on hover for precise values.</w:t>
      </w:r>
    </w:p>
    <w:p w:rsidR="00000000" w:rsidDel="00000000" w:rsidP="00000000" w:rsidRDefault="00000000" w:rsidRPr="00000000" w14:paraId="00000042">
      <w:pPr>
        <w:spacing w:after="240" w:before="240" w:lineRule="auto"/>
        <w:rPr>
          <w:sz w:val="24"/>
          <w:szCs w:val="24"/>
        </w:rPr>
      </w:pPr>
      <w:r w:rsidDel="00000000" w:rsidR="00000000" w:rsidRPr="00000000">
        <w:rPr>
          <w:b w:val="1"/>
          <w:sz w:val="24"/>
          <w:szCs w:val="24"/>
          <w:rtl w:val="0"/>
        </w:rPr>
        <w:t xml:space="preserve">Purpose:</w:t>
        <w:br w:type="textWrapping"/>
        <w:t xml:space="preserve"> </w:t>
      </w:r>
      <w:r w:rsidDel="00000000" w:rsidR="00000000" w:rsidRPr="00000000">
        <w:rPr>
          <w:sz w:val="24"/>
          <w:szCs w:val="24"/>
          <w:rtl w:val="0"/>
        </w:rPr>
        <w:t xml:space="preserve">This section demonstrates the long-term environmental benefits of investing in wind energy — not only for economic growth but also for climate responsibility. It underlines the importance of scaling up renewables to meet the European Green Deal and net-zero targets.</w:t>
      </w:r>
    </w:p>
    <w:p w:rsidR="00000000" w:rsidDel="00000000" w:rsidP="00000000" w:rsidRDefault="00000000" w:rsidRPr="00000000" w14:paraId="00000043">
      <w:pPr>
        <w:spacing w:after="240" w:before="240" w:lineRule="auto"/>
        <w:rPr>
          <w:b w:val="1"/>
          <w:sz w:val="28"/>
          <w:szCs w:val="28"/>
        </w:rPr>
      </w:pPr>
      <w:r w:rsidDel="00000000" w:rsidR="00000000" w:rsidRPr="00000000">
        <w:rPr>
          <w:b w:val="1"/>
          <w:sz w:val="28"/>
          <w:szCs w:val="28"/>
          <w:rtl w:val="0"/>
        </w:rPr>
        <w:t xml:space="preserve">5.Dual Bar Chart: Wind Energy Growth in Europe by 2030</w:t>
      </w:r>
      <w:r w:rsidDel="00000000" w:rsidR="00000000" w:rsidRPr="00000000">
        <w:rPr>
          <w:b w:val="1"/>
          <w:sz w:val="28"/>
          <w:szCs w:val="28"/>
        </w:rPr>
        <w:drawing>
          <wp:inline distB="114300" distT="114300" distL="114300" distR="114300">
            <wp:extent cx="5734050" cy="2503317"/>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4050" cy="2503317"/>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240" w:before="240" w:lineRule="auto"/>
        <w:rPr>
          <w:sz w:val="24"/>
          <w:szCs w:val="24"/>
        </w:rPr>
      </w:pPr>
      <w:r w:rsidDel="00000000" w:rsidR="00000000" w:rsidRPr="00000000">
        <w:rPr>
          <w:b w:val="1"/>
          <w:sz w:val="24"/>
          <w:szCs w:val="24"/>
          <w:rtl w:val="0"/>
        </w:rPr>
        <w:t xml:space="preserve">Description:</w:t>
        <w:br w:type="textWrapping"/>
      </w:r>
      <w:r w:rsidDel="00000000" w:rsidR="00000000" w:rsidRPr="00000000">
        <w:rPr>
          <w:sz w:val="24"/>
          <w:szCs w:val="24"/>
          <w:rtl w:val="0"/>
        </w:rPr>
        <w:t xml:space="preserve"> This animated bar chart forecasts the growth of wind turbines in the top 10 European countries by 2030. The chart transitions dynamically, rotating through country rankings like a carousel to emphasize evolving leadership in turbine installation.</w:t>
      </w:r>
    </w:p>
    <w:p w:rsidR="00000000" w:rsidDel="00000000" w:rsidP="00000000" w:rsidRDefault="00000000" w:rsidRPr="00000000" w14:paraId="00000045">
      <w:pPr>
        <w:numPr>
          <w:ilvl w:val="0"/>
          <w:numId w:val="7"/>
        </w:numPr>
        <w:spacing w:after="0" w:afterAutospacing="0" w:before="240" w:lineRule="auto"/>
        <w:ind w:left="720" w:hanging="360"/>
        <w:rPr>
          <w:sz w:val="24"/>
          <w:szCs w:val="24"/>
        </w:rPr>
      </w:pPr>
      <w:r w:rsidDel="00000000" w:rsidR="00000000" w:rsidRPr="00000000">
        <w:rPr>
          <w:sz w:val="24"/>
          <w:szCs w:val="24"/>
          <w:rtl w:val="0"/>
        </w:rPr>
        <w:t xml:space="preserve"> Yellow bars: Current number of wind turbines in 2024</w:t>
        <w:br w:type="textWrapping"/>
      </w:r>
    </w:p>
    <w:p w:rsidR="00000000" w:rsidDel="00000000" w:rsidP="00000000" w:rsidRDefault="00000000" w:rsidRPr="00000000" w14:paraId="00000046">
      <w:pPr>
        <w:numPr>
          <w:ilvl w:val="0"/>
          <w:numId w:val="7"/>
        </w:numPr>
        <w:spacing w:after="240" w:before="0" w:beforeAutospacing="0" w:lineRule="auto"/>
        <w:ind w:left="720" w:hanging="360"/>
        <w:rPr>
          <w:sz w:val="24"/>
          <w:szCs w:val="24"/>
        </w:rPr>
      </w:pPr>
      <w:r w:rsidDel="00000000" w:rsidR="00000000" w:rsidRPr="00000000">
        <w:rPr>
          <w:sz w:val="24"/>
          <w:szCs w:val="24"/>
          <w:rtl w:val="0"/>
        </w:rPr>
        <w:t xml:space="preserve"> Green bars: Projected number of turbines by 2030</w:t>
        <w:br w:type="textWrapping"/>
      </w:r>
    </w:p>
    <w:p w:rsidR="00000000" w:rsidDel="00000000" w:rsidP="00000000" w:rsidRDefault="00000000" w:rsidRPr="00000000" w14:paraId="00000047">
      <w:pPr>
        <w:spacing w:after="240" w:before="240" w:lineRule="auto"/>
        <w:rPr>
          <w:b w:val="1"/>
          <w:sz w:val="24"/>
          <w:szCs w:val="24"/>
        </w:rPr>
      </w:pPr>
      <w:r w:rsidDel="00000000" w:rsidR="00000000" w:rsidRPr="00000000">
        <w:rPr>
          <w:b w:val="1"/>
          <w:sz w:val="24"/>
          <w:szCs w:val="24"/>
          <w:rtl w:val="0"/>
        </w:rPr>
        <w:t xml:space="preserve">Key Highlights:</w:t>
      </w:r>
    </w:p>
    <w:p w:rsidR="00000000" w:rsidDel="00000000" w:rsidP="00000000" w:rsidRDefault="00000000" w:rsidRPr="00000000" w14:paraId="00000048">
      <w:pPr>
        <w:numPr>
          <w:ilvl w:val="0"/>
          <w:numId w:val="9"/>
        </w:numPr>
        <w:spacing w:after="0" w:afterAutospacing="0" w:before="240" w:lineRule="auto"/>
        <w:ind w:left="720" w:hanging="360"/>
        <w:rPr>
          <w:sz w:val="24"/>
          <w:szCs w:val="24"/>
        </w:rPr>
      </w:pPr>
      <w:r w:rsidDel="00000000" w:rsidR="00000000" w:rsidRPr="00000000">
        <w:rPr>
          <w:sz w:val="24"/>
          <w:szCs w:val="24"/>
          <w:rtl w:val="0"/>
        </w:rPr>
        <w:t xml:space="preserve">Germany and Spain are projected to remain top leaders in turbine count</w:t>
        <w:br w:type="textWrapping"/>
      </w:r>
    </w:p>
    <w:p w:rsidR="00000000" w:rsidDel="00000000" w:rsidP="00000000" w:rsidRDefault="00000000" w:rsidRPr="00000000" w14:paraId="00000049">
      <w:pPr>
        <w:numPr>
          <w:ilvl w:val="0"/>
          <w:numId w:val="9"/>
        </w:numPr>
        <w:spacing w:after="0" w:afterAutospacing="0" w:before="0" w:beforeAutospacing="0" w:lineRule="auto"/>
        <w:ind w:left="720" w:hanging="360"/>
        <w:rPr>
          <w:sz w:val="24"/>
          <w:szCs w:val="24"/>
        </w:rPr>
      </w:pPr>
      <w:r w:rsidDel="00000000" w:rsidR="00000000" w:rsidRPr="00000000">
        <w:rPr>
          <w:sz w:val="24"/>
          <w:szCs w:val="24"/>
          <w:rtl w:val="0"/>
        </w:rPr>
        <w:t xml:space="preserve">United Kingdom and Netherlands will see significant expansion</w:t>
        <w:br w:type="textWrapping"/>
      </w:r>
    </w:p>
    <w:p w:rsidR="00000000" w:rsidDel="00000000" w:rsidP="00000000" w:rsidRDefault="00000000" w:rsidRPr="00000000" w14:paraId="0000004A">
      <w:pPr>
        <w:numPr>
          <w:ilvl w:val="0"/>
          <w:numId w:val="9"/>
        </w:numPr>
        <w:spacing w:after="240" w:before="0" w:beforeAutospacing="0" w:lineRule="auto"/>
        <w:ind w:left="720" w:hanging="360"/>
        <w:rPr>
          <w:b w:val="1"/>
          <w:sz w:val="24"/>
          <w:szCs w:val="24"/>
        </w:rPr>
      </w:pPr>
      <w:r w:rsidDel="00000000" w:rsidR="00000000" w:rsidRPr="00000000">
        <w:rPr>
          <w:sz w:val="24"/>
          <w:szCs w:val="24"/>
          <w:rtl w:val="0"/>
        </w:rPr>
        <w:t xml:space="preserve">Sweden and France are catching up, reflecting growing investment</w:t>
      </w:r>
      <w:r w:rsidDel="00000000" w:rsidR="00000000" w:rsidRPr="00000000">
        <w:rPr>
          <w:b w:val="1"/>
          <w:sz w:val="24"/>
          <w:szCs w:val="24"/>
          <w:rtl w:val="0"/>
        </w:rPr>
        <w:br w:type="textWrapping"/>
      </w:r>
    </w:p>
    <w:p w:rsidR="00000000" w:rsidDel="00000000" w:rsidP="00000000" w:rsidRDefault="00000000" w:rsidRPr="00000000" w14:paraId="0000004B">
      <w:pPr>
        <w:spacing w:after="240" w:before="240" w:lineRule="auto"/>
        <w:rPr>
          <w:sz w:val="24"/>
          <w:szCs w:val="24"/>
        </w:rPr>
      </w:pPr>
      <w:r w:rsidDel="00000000" w:rsidR="00000000" w:rsidRPr="00000000">
        <w:rPr>
          <w:b w:val="1"/>
          <w:sz w:val="24"/>
          <w:szCs w:val="24"/>
          <w:rtl w:val="0"/>
        </w:rPr>
        <w:t xml:space="preserve">Technology:</w:t>
        <w:br w:type="textWrapping"/>
      </w:r>
      <w:r w:rsidDel="00000000" w:rsidR="00000000" w:rsidRPr="00000000">
        <w:rPr>
          <w:sz w:val="24"/>
          <w:szCs w:val="24"/>
          <w:rtl w:val="0"/>
        </w:rPr>
        <w:t xml:space="preserve"> Built using Chart.js with animation plugins, the chart supports smooth transitions and visually communicates growth trends.</w:t>
      </w:r>
    </w:p>
    <w:p w:rsidR="00000000" w:rsidDel="00000000" w:rsidP="00000000" w:rsidRDefault="00000000" w:rsidRPr="00000000" w14:paraId="0000004C">
      <w:pPr>
        <w:spacing w:after="240" w:before="240" w:lineRule="auto"/>
        <w:rPr>
          <w:sz w:val="24"/>
          <w:szCs w:val="24"/>
        </w:rPr>
      </w:pPr>
      <w:r w:rsidDel="00000000" w:rsidR="00000000" w:rsidRPr="00000000">
        <w:rPr>
          <w:b w:val="1"/>
          <w:sz w:val="24"/>
          <w:szCs w:val="24"/>
          <w:rtl w:val="0"/>
        </w:rPr>
        <w:t xml:space="preserve">Purpose:</w:t>
        <w:br w:type="textWrapping"/>
        <w:t xml:space="preserve"> </w:t>
      </w:r>
      <w:r w:rsidDel="00000000" w:rsidR="00000000" w:rsidRPr="00000000">
        <w:rPr>
          <w:sz w:val="24"/>
          <w:szCs w:val="24"/>
          <w:rtl w:val="0"/>
        </w:rPr>
        <w:t xml:space="preserve">This section illustrates the ambitious national goals for scaling up wind infrastructure by 2030, in alignment with the EU's renewable energy targets. It allows stakeholders to anticipate regional changes and prioritize investments.</w:t>
      </w:r>
    </w:p>
    <w:p w:rsidR="00000000" w:rsidDel="00000000" w:rsidP="00000000" w:rsidRDefault="00000000" w:rsidRPr="00000000" w14:paraId="0000004D">
      <w:pPr>
        <w:spacing w:after="240" w:before="240" w:lineRule="auto"/>
        <w:rPr>
          <w:sz w:val="24"/>
          <w:szCs w:val="24"/>
        </w:rPr>
      </w:pPr>
      <w:r w:rsidDel="00000000" w:rsidR="00000000" w:rsidRPr="00000000">
        <w:rPr>
          <w:rtl w:val="0"/>
        </w:rPr>
      </w:r>
    </w:p>
    <w:p w:rsidR="00000000" w:rsidDel="00000000" w:rsidP="00000000" w:rsidRDefault="00000000" w:rsidRPr="00000000" w14:paraId="0000004E">
      <w:pPr>
        <w:spacing w:after="240" w:before="240" w:lineRule="auto"/>
        <w:rPr>
          <w:b w:val="1"/>
          <w:color w:val="222222"/>
          <w:sz w:val="28"/>
          <w:szCs w:val="28"/>
        </w:rPr>
      </w:pPr>
      <w:r w:rsidDel="00000000" w:rsidR="00000000" w:rsidRPr="00000000">
        <w:rPr>
          <w:b w:val="1"/>
          <w:sz w:val="28"/>
          <w:szCs w:val="28"/>
          <w:rtl w:val="0"/>
        </w:rPr>
        <w:t xml:space="preserve">5. Investment Pyramid: </w:t>
      </w:r>
      <w:r w:rsidDel="00000000" w:rsidR="00000000" w:rsidRPr="00000000">
        <w:rPr>
          <w:b w:val="1"/>
          <w:color w:val="222222"/>
          <w:sz w:val="28"/>
          <w:szCs w:val="28"/>
          <w:rtl w:val="0"/>
        </w:rPr>
        <w:t xml:space="preserve">Investment in Wind Energy</w:t>
      </w:r>
      <w:r w:rsidDel="00000000" w:rsidR="00000000" w:rsidRPr="00000000">
        <w:rPr>
          <w:b w:val="1"/>
          <w:color w:val="222222"/>
          <w:sz w:val="28"/>
          <w:szCs w:val="28"/>
        </w:rPr>
        <w:drawing>
          <wp:inline distB="114300" distT="114300" distL="114300" distR="114300">
            <wp:extent cx="5731200" cy="2438400"/>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312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50">
      <w:pPr>
        <w:spacing w:after="240" w:before="240" w:lineRule="auto"/>
        <w:rPr>
          <w:sz w:val="24"/>
          <w:szCs w:val="24"/>
        </w:rPr>
      </w:pPr>
      <w:r w:rsidDel="00000000" w:rsidR="00000000" w:rsidRPr="00000000">
        <w:rPr>
          <w:b w:val="1"/>
          <w:sz w:val="24"/>
          <w:szCs w:val="24"/>
          <w:rtl w:val="0"/>
        </w:rPr>
        <w:t xml:space="preserve">Description:</w:t>
        <w:br w:type="textWrapping"/>
      </w:r>
      <w:r w:rsidDel="00000000" w:rsidR="00000000" w:rsidRPr="00000000">
        <w:rPr>
          <w:sz w:val="24"/>
          <w:szCs w:val="24"/>
          <w:rtl w:val="0"/>
        </w:rPr>
        <w:t xml:space="preserve"> This pyramid chart presents the projected distribution of wind energy investments in Europe toward 2030. It is divided into three tiers — A1, B2, and C3 — each highlighting a specific funding priority. Each tier is interactive: clicking on it opens a relevant external resource that provides deeper context and insights into the corresponding investment strategy.</w:t>
      </w:r>
    </w:p>
    <w:p w:rsidR="00000000" w:rsidDel="00000000" w:rsidP="00000000" w:rsidRDefault="00000000" w:rsidRPr="00000000" w14:paraId="00000051">
      <w:pPr>
        <w:spacing w:after="240" w:before="240" w:lineRule="auto"/>
        <w:rPr>
          <w:b w:val="1"/>
          <w:sz w:val="24"/>
          <w:szCs w:val="24"/>
        </w:rPr>
      </w:pPr>
      <w:r w:rsidDel="00000000" w:rsidR="00000000" w:rsidRPr="00000000">
        <w:rPr>
          <w:b w:val="1"/>
          <w:sz w:val="24"/>
          <w:szCs w:val="24"/>
          <w:rtl w:val="0"/>
        </w:rPr>
        <w:t xml:space="preserve">Tiers Overview:</w:t>
      </w:r>
    </w:p>
    <w:p w:rsidR="00000000" w:rsidDel="00000000" w:rsidP="00000000" w:rsidRDefault="00000000" w:rsidRPr="00000000" w14:paraId="00000052">
      <w:pPr>
        <w:numPr>
          <w:ilvl w:val="0"/>
          <w:numId w:val="5"/>
        </w:numPr>
        <w:spacing w:after="0" w:afterAutospacing="0" w:before="240" w:lineRule="auto"/>
        <w:ind w:left="720" w:hanging="360"/>
        <w:rPr>
          <w:sz w:val="24"/>
          <w:szCs w:val="24"/>
        </w:rPr>
      </w:pPr>
      <w:r w:rsidDel="00000000" w:rsidR="00000000" w:rsidRPr="00000000">
        <w:rPr>
          <w:sz w:val="24"/>
          <w:szCs w:val="24"/>
          <w:rtl w:val="0"/>
        </w:rPr>
        <w:t xml:space="preserve">A1 (85%) — Future investments primarily directed to large-scale offshore wind farms in the North and Baltic seas.</w:t>
        <w:br w:type="textWrapping"/>
      </w:r>
    </w:p>
    <w:p w:rsidR="00000000" w:rsidDel="00000000" w:rsidP="00000000" w:rsidRDefault="00000000" w:rsidRPr="00000000" w14:paraId="00000053">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B2 (50%) — Mid-term investments targeting cross-border expansion projects and doubling wind capacity across 10+ EU countries.</w:t>
        <w:br w:type="textWrapping"/>
      </w:r>
    </w:p>
    <w:p w:rsidR="00000000" w:rsidDel="00000000" w:rsidP="00000000" w:rsidRDefault="00000000" w:rsidRPr="00000000" w14:paraId="00000054">
      <w:pPr>
        <w:numPr>
          <w:ilvl w:val="0"/>
          <w:numId w:val="5"/>
        </w:numPr>
        <w:spacing w:after="240" w:before="0" w:beforeAutospacing="0" w:lineRule="auto"/>
        <w:ind w:left="720" w:hanging="360"/>
        <w:rPr>
          <w:sz w:val="24"/>
          <w:szCs w:val="24"/>
        </w:rPr>
      </w:pPr>
      <w:r w:rsidDel="00000000" w:rsidR="00000000" w:rsidRPr="00000000">
        <w:rPr>
          <w:sz w:val="24"/>
          <w:szCs w:val="24"/>
          <w:rtl w:val="0"/>
        </w:rPr>
        <w:t xml:space="preserve">C3 (30%) — Initial investments focus on grid modernization and onshore wind project acceleration in Eastern Europe.</w:t>
        <w:br w:type="textWrapping"/>
      </w:r>
    </w:p>
    <w:p w:rsidR="00000000" w:rsidDel="00000000" w:rsidP="00000000" w:rsidRDefault="00000000" w:rsidRPr="00000000" w14:paraId="00000055">
      <w:pPr>
        <w:spacing w:after="240" w:before="240" w:lineRule="auto"/>
        <w:rPr>
          <w:sz w:val="24"/>
          <w:szCs w:val="24"/>
        </w:rPr>
      </w:pPr>
      <w:r w:rsidDel="00000000" w:rsidR="00000000" w:rsidRPr="00000000">
        <w:rPr>
          <w:b w:val="1"/>
          <w:sz w:val="24"/>
          <w:szCs w:val="24"/>
          <w:rtl w:val="0"/>
        </w:rPr>
        <w:t xml:space="preserve">Technology:</w:t>
        <w:br w:type="textWrapping"/>
      </w:r>
      <w:r w:rsidDel="00000000" w:rsidR="00000000" w:rsidRPr="00000000">
        <w:rPr>
          <w:sz w:val="24"/>
          <w:szCs w:val="24"/>
          <w:rtl w:val="0"/>
        </w:rPr>
        <w:t xml:space="preserve"> Custom-built static pyramid with linked tier elements. Designed using HTML, CSS, and JavaScript, with clickable navigation to detailed content.</w:t>
      </w:r>
    </w:p>
    <w:p w:rsidR="00000000" w:rsidDel="00000000" w:rsidP="00000000" w:rsidRDefault="00000000" w:rsidRPr="00000000" w14:paraId="00000056">
      <w:pPr>
        <w:spacing w:after="240" w:before="240" w:lineRule="auto"/>
        <w:rPr>
          <w:sz w:val="24"/>
          <w:szCs w:val="24"/>
        </w:rPr>
      </w:pPr>
      <w:r w:rsidDel="00000000" w:rsidR="00000000" w:rsidRPr="00000000">
        <w:rPr>
          <w:b w:val="1"/>
          <w:sz w:val="24"/>
          <w:szCs w:val="24"/>
          <w:rtl w:val="0"/>
        </w:rPr>
        <w:t xml:space="preserve">Purpose:</w:t>
        <w:br w:type="textWrapping"/>
        <w:t xml:space="preserve"> </w:t>
      </w:r>
      <w:r w:rsidDel="00000000" w:rsidR="00000000" w:rsidRPr="00000000">
        <w:rPr>
          <w:sz w:val="24"/>
          <w:szCs w:val="24"/>
          <w:rtl w:val="0"/>
        </w:rPr>
        <w:t xml:space="preserve">The pyramid helps illustrate investment priorities in a clear hierarchical format. It enables users to explore Europe’s phased financial approach to wind energy development by decade.</w:t>
      </w:r>
    </w:p>
    <w:p w:rsidR="00000000" w:rsidDel="00000000" w:rsidP="00000000" w:rsidRDefault="00000000" w:rsidRPr="00000000" w14:paraId="00000057">
      <w:pPr>
        <w:spacing w:after="240" w:before="240" w:lineRule="auto"/>
        <w:rPr>
          <w:b w:val="1"/>
          <w:sz w:val="24"/>
          <w:szCs w:val="24"/>
        </w:rPr>
      </w:pPr>
      <w:r w:rsidDel="00000000" w:rsidR="00000000" w:rsidRPr="00000000">
        <w:rPr>
          <w:rtl w:val="0"/>
        </w:rPr>
      </w:r>
    </w:p>
    <w:sectPr>
      <w:head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8.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