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b w:val="1"/>
          <w:sz w:val="48"/>
          <w:rtl w:val="0"/>
        </w:rPr>
        <w:t xml:space="preserve">NFCook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8"/>
          <w:rtl w:val="0"/>
        </w:rPr>
        <w:t xml:space="preserve">Especificación de casos de uso: Seleccionar producto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4"/>
          <w:rtl w:val="0"/>
        </w:rPr>
        <w:t xml:space="preserve">Versión 0.1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15/05/2013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Tabla de contenidos</w:t>
      </w:r>
    </w:p>
    <w:p w:rsidP="00000000" w:rsidRPr="00000000" w:rsidR="00000000" w:rsidDel="00000000" w:rsidRDefault="00000000">
      <w:pPr/>
      <w:hyperlink w:anchor="id.1x016oirxzuu">
        <w:r w:rsidRPr="00000000" w:rsidR="00000000" w:rsidDel="00000000">
          <w:rPr>
            <w:color w:val="1155cc"/>
            <w:u w:val="single"/>
            <w:rtl w:val="0"/>
          </w:rPr>
          <w:t xml:space="preserve">1. Casos de uso: Seleccionar producto</w:t>
        </w:r>
      </w:hyperlink>
      <w:r w:rsidRPr="00000000" w:rsidR="00000000" w:rsidDel="00000000">
        <w:rPr>
          <w:rtl w:val="0"/>
        </w:rPr>
      </w:r>
    </w:p>
    <w:p w:rsidP="00000000" w:rsidRPr="00000000" w:rsidR="00000000" w:rsidDel="00000000" w:rsidRDefault="00000000">
      <w:pPr>
        <w:numPr>
          <w:ilvl w:val="0"/>
          <w:numId w:val="2"/>
        </w:numPr>
        <w:ind w:left="720" w:hanging="359"/>
      </w:pPr>
      <w:hyperlink w:anchor="id.dhxit0bqw3v1">
        <w:r w:rsidRPr="00000000" w:rsidR="00000000" w:rsidDel="00000000">
          <w:rPr>
            <w:color w:val="1155cc"/>
            <w:u w:val="single"/>
            <w:rtl w:val="0"/>
          </w:rPr>
          <w:t xml:space="preserve">Descripción breve</w:t>
        </w:r>
      </w:hyperlink>
      <w:r w:rsidRPr="00000000" w:rsidR="00000000" w:rsidDel="00000000">
        <w:rPr>
          <w:rtl w:val="0"/>
        </w:rPr>
      </w:r>
    </w:p>
    <w:p w:rsidP="00000000" w:rsidRPr="00000000" w:rsidR="00000000" w:rsidDel="00000000" w:rsidRDefault="00000000">
      <w:pPr/>
      <w:hyperlink w:anchor="id.t3hgk3j6f8i7">
        <w:r w:rsidRPr="00000000" w:rsidR="00000000" w:rsidDel="00000000">
          <w:rPr>
            <w:color w:val="1155cc"/>
            <w:u w:val="single"/>
            <w:rtl w:val="0"/>
          </w:rPr>
          <w:t xml:space="preserve">2. Flujo de eventos</w:t>
        </w:r>
      </w:hyperlink>
      <w:r w:rsidRPr="00000000" w:rsidR="00000000" w:rsidDel="00000000">
        <w:rPr>
          <w:rtl w:val="0"/>
        </w:rPr>
      </w:r>
    </w:p>
    <w:p w:rsidP="00000000" w:rsidRPr="00000000" w:rsidR="00000000" w:rsidDel="00000000" w:rsidRDefault="00000000">
      <w:pPr>
        <w:numPr>
          <w:ilvl w:val="0"/>
          <w:numId w:val="1"/>
        </w:numPr>
        <w:ind w:left="720" w:hanging="359"/>
      </w:pPr>
      <w:hyperlink w:anchor="id.z9wj9pd1173v">
        <w:r w:rsidRPr="00000000" w:rsidR="00000000" w:rsidDel="00000000">
          <w:rPr>
            <w:color w:val="1155cc"/>
            <w:u w:val="single"/>
            <w:rtl w:val="0"/>
          </w:rPr>
          <w:t xml:space="preserve">Flujo básico</w:t>
        </w:r>
      </w:hyperlink>
      <w:r w:rsidRPr="00000000" w:rsidR="00000000" w:rsidDel="00000000">
        <w:rPr>
          <w:rtl w:val="0"/>
        </w:rPr>
      </w:r>
    </w:p>
    <w:p w:rsidP="00000000" w:rsidRPr="00000000" w:rsidR="00000000" w:rsidDel="00000000" w:rsidRDefault="00000000">
      <w:pPr/>
      <w:hyperlink w:anchor="id.hu06lnom2ts1">
        <w:r w:rsidRPr="00000000" w:rsidR="00000000" w:rsidDel="00000000">
          <w:rPr>
            <w:color w:val="1155cc"/>
            <w:u w:val="single"/>
            <w:rtl w:val="0"/>
          </w:rPr>
          <w:t xml:space="preserve">3. Requisitos especiales</w:t>
        </w:r>
      </w:hyperlink>
      <w:r w:rsidRPr="00000000" w:rsidR="00000000" w:rsidDel="00000000">
        <w:rPr>
          <w:rtl w:val="0"/>
        </w:rPr>
      </w:r>
    </w:p>
    <w:p w:rsidP="00000000" w:rsidRPr="00000000" w:rsidR="00000000" w:rsidDel="00000000" w:rsidRDefault="00000000">
      <w:pPr/>
      <w:hyperlink w:anchor="id.lvix204az2t4">
        <w:r w:rsidRPr="00000000" w:rsidR="00000000" w:rsidDel="00000000">
          <w:rPr>
            <w:color w:val="1155cc"/>
            <w:u w:val="single"/>
            <w:rtl w:val="0"/>
          </w:rPr>
          <w:t xml:space="preserve">4. Precondiciones</w:t>
        </w:r>
      </w:hyperlink>
      <w:r w:rsidRPr="00000000" w:rsidR="00000000" w:rsidDel="00000000">
        <w:rPr>
          <w:rtl w:val="0"/>
        </w:rPr>
      </w:r>
    </w:p>
    <w:p w:rsidP="00000000" w:rsidRPr="00000000" w:rsidR="00000000" w:rsidDel="00000000" w:rsidRDefault="00000000">
      <w:pPr/>
      <w:hyperlink w:anchor="id.193q8zmlx7pr">
        <w:r w:rsidRPr="00000000" w:rsidR="00000000" w:rsidDel="00000000">
          <w:rPr>
            <w:color w:val="1155cc"/>
            <w:u w:val="single"/>
            <w:rtl w:val="0"/>
          </w:rPr>
          <w:t xml:space="preserve">5. Postcondiciones</w:t>
        </w:r>
      </w:hyperlink>
      <w:r w:rsidRPr="00000000" w:rsidR="00000000" w:rsidDel="00000000">
        <w:rPr>
          <w:rtl w:val="0"/>
        </w:rPr>
      </w:r>
    </w:p>
    <w:p w:rsidP="00000000" w:rsidRPr="00000000" w:rsidR="00000000" w:rsidDel="00000000" w:rsidRDefault="00000000">
      <w:pPr/>
      <w:hyperlink w:anchor="id.w63sr8cg1wug">
        <w:r w:rsidRPr="00000000" w:rsidR="00000000" w:rsidDel="00000000">
          <w:rPr>
            <w:color w:val="1155cc"/>
            <w:u w:val="single"/>
            <w:rtl w:val="0"/>
          </w:rPr>
          <w:t xml:space="preserve">6. UML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Especificación de caso de uso: Seleccionar producto</w:t>
      </w:r>
    </w:p>
    <w:p w:rsidP="00000000" w:rsidRPr="00000000" w:rsidR="00000000" w:rsidDel="00000000" w:rsidRDefault="00000000">
      <w:pPr/>
      <w:bookmarkStart w:id="0" w:colFirst="0" w:name="id.1x016oirxzuu" w:colLast="0"/>
      <w:bookmarkEnd w:id="0"/>
      <w:r w:rsidRPr="00000000" w:rsidR="00000000" w:rsidDel="00000000">
        <w:rPr>
          <w:b w:val="1"/>
          <w:sz w:val="24"/>
          <w:rtl w:val="0"/>
        </w:rPr>
        <w:t xml:space="preserve">1. Casos de uso: Seleccionar producto</w:t>
      </w:r>
    </w:p>
    <w:p w:rsidP="00000000" w:rsidRPr="00000000" w:rsidR="00000000" w:rsidDel="00000000" w:rsidRDefault="00000000">
      <w:pPr/>
      <w:bookmarkStart w:id="1" w:colFirst="0" w:name="id.dhxit0bqw3v1" w:colLast="0"/>
      <w:bookmarkEnd w:id="1"/>
      <w:r w:rsidRPr="00000000" w:rsidR="00000000" w:rsidDel="00000000">
        <w:rPr>
          <w:b w:val="1"/>
          <w:rtl w:val="0"/>
        </w:rPr>
        <w:t xml:space="preserve">1.1 Descripción breve</w:t>
      </w:r>
    </w:p>
    <w:p w:rsidP="00000000" w:rsidRPr="00000000" w:rsidR="00000000" w:rsidDel="00000000" w:rsidRDefault="00000000">
      <w:pPr>
        <w:ind w:firstLine="720"/>
      </w:pPr>
      <w:r w:rsidRPr="00000000" w:rsidR="00000000" w:rsidDel="00000000">
        <w:rPr>
          <w:rtl w:val="0"/>
        </w:rPr>
        <w:t xml:space="preserve">Este caso de uso le permite al camarero, elegir un producto, su configuración y añadirlo al pedido.</w:t>
      </w:r>
    </w:p>
    <w:p w:rsidP="00000000" w:rsidRPr="00000000" w:rsidR="00000000" w:rsidDel="00000000" w:rsidRDefault="00000000">
      <w:pPr>
        <w:ind w:firstLine="720"/>
      </w:pPr>
      <w:r w:rsidRPr="00000000" w:rsidR="00000000" w:rsidDel="00000000">
        <w:rPr>
          <w:rtl w:val="0"/>
        </w:rPr>
        <w:t xml:space="preserve"> </w:t>
      </w:r>
    </w:p>
    <w:p w:rsidP="00000000" w:rsidRPr="00000000" w:rsidR="00000000" w:rsidDel="00000000" w:rsidRDefault="00000000">
      <w:pPr/>
      <w:bookmarkStart w:id="2" w:colFirst="0" w:name="id.t3hgk3j6f8i7" w:colLast="0"/>
      <w:bookmarkEnd w:id="2"/>
      <w:r w:rsidRPr="00000000" w:rsidR="00000000" w:rsidDel="00000000">
        <w:rPr>
          <w:b w:val="1"/>
          <w:sz w:val="24"/>
          <w:rtl w:val="0"/>
        </w:rPr>
        <w:t xml:space="preserve">2. Flujo de eventos</w:t>
      </w:r>
    </w:p>
    <w:p w:rsidP="00000000" w:rsidRPr="00000000" w:rsidR="00000000" w:rsidDel="00000000" w:rsidRDefault="00000000">
      <w:pPr>
        <w:ind w:firstLine="260"/>
      </w:pPr>
      <w:bookmarkStart w:id="3" w:colFirst="0" w:name="id.z9wj9pd1173v" w:colLast="0"/>
      <w:bookmarkEnd w:id="3"/>
      <w:r w:rsidRPr="00000000" w:rsidR="00000000" w:rsidDel="00000000">
        <w:rPr>
          <w:b w:val="1"/>
          <w:rtl w:val="0"/>
        </w:rPr>
        <w:t xml:space="preserve">2.1 Flujo básico</w:t>
      </w:r>
    </w:p>
    <w:p w:rsidP="00000000" w:rsidRPr="00000000" w:rsidR="00000000" w:rsidDel="00000000" w:rsidRDefault="00000000">
      <w:pPr>
        <w:ind w:left="720" w:firstLine="0"/>
      </w:pPr>
      <w:r w:rsidRPr="00000000" w:rsidR="00000000" w:rsidDel="00000000">
        <w:rPr>
          <w:rtl w:val="0"/>
        </w:rPr>
        <w:t xml:space="preserve">1. En la mitad inferior de la pantalla se encuentran todos los productos de una categoría previamente seleccionada. Pulsando sobre un producto nos aparecerá un menú donde podremos configurar las características especiales del plato como guarnición, salsas, observaciones, etc (Se dedica un caso de uso propio a esta acción).</w:t>
      </w:r>
    </w:p>
    <w:p w:rsidP="00000000" w:rsidRPr="00000000" w:rsidR="00000000" w:rsidDel="00000000" w:rsidRDefault="00000000">
      <w:pPr>
        <w:ind w:left="720" w:firstLine="0"/>
      </w:pPr>
      <w:r w:rsidRPr="00000000" w:rsidR="00000000" w:rsidDel="00000000">
        <w:rPr>
          <w:rtl w:val="0"/>
        </w:rPr>
        <w:t xml:space="preserve">2. Al terminar de seleccionar la configuración le damos a aceptar y automáticamente el plato se añade a la tabla situada en la parte superior de la pantalla y al pedido de esa mesa.</w:t>
      </w:r>
    </w:p>
    <w:p w:rsidP="00000000" w:rsidRPr="00000000" w:rsidR="00000000" w:rsidDel="00000000" w:rsidRDefault="00000000">
      <w:pPr>
        <w:ind w:left="720" w:firstLine="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bookmarkStart w:id="4" w:colFirst="0" w:name="id.hu06lnom2ts1" w:colLast="0"/>
      <w:bookmarkEnd w:id="4"/>
      <w:r w:rsidRPr="00000000" w:rsidR="00000000" w:rsidDel="00000000">
        <w:rPr>
          <w:b w:val="1"/>
          <w:sz w:val="24"/>
          <w:rtl w:val="0"/>
        </w:rPr>
        <w:t xml:space="preserve">3. Requisitos especiales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Darle a aceptar al configurar las características especiales del plato. Si le damos a cancelar el plato no será añadido.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5" w:colFirst="0" w:name="id.lvix204az2t4" w:colLast="0"/>
      <w:bookmarkEnd w:id="5"/>
      <w:r w:rsidRPr="00000000" w:rsidR="00000000" w:rsidDel="00000000">
        <w:rPr>
          <w:b w:val="1"/>
          <w:sz w:val="24"/>
          <w:rtl w:val="0"/>
        </w:rPr>
        <w:t xml:space="preserve">4. Pre-condiciones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Estar en la pantalla de platos en TPV, y haber seleccionado una categoría</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6" w:colFirst="0" w:name="id.193q8zmlx7pr" w:colLast="0"/>
      <w:bookmarkEnd w:id="6"/>
      <w:r w:rsidRPr="00000000" w:rsidR="00000000" w:rsidDel="00000000">
        <w:rPr>
          <w:b w:val="1"/>
          <w:sz w:val="24"/>
          <w:rtl w:val="0"/>
        </w:rPr>
        <w:t xml:space="preserve">5. Post-condiciones</w:t>
      </w:r>
    </w:p>
    <w:p w:rsidP="00000000" w:rsidRPr="00000000" w:rsidR="00000000" w:rsidDel="00000000" w:rsidRDefault="00000000">
      <w:pPr>
        <w:ind w:firstLine="720"/>
      </w:pPr>
      <w:r w:rsidRPr="00000000" w:rsidR="00000000" w:rsidDel="00000000">
        <w:rPr>
          <w:rtl w:val="0"/>
        </w:rPr>
        <w:t xml:space="preserve">Añade dicho plato con su configuración al pedido y a la tabla donde se representan los platos de la mes</w:t>
      </w: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bookmarkStart w:id="7" w:colFirst="0" w:name="id.w63sr8cg1wug" w:colLast="0"/>
      <w:bookmarkEnd w:id="7"/>
      <w:r w:rsidRPr="00000000" w:rsidR="00000000" w:rsidDel="00000000">
        <w:rPr>
          <w:b w:val="1"/>
          <w:rtl w:val="0"/>
        </w:rPr>
        <w:t xml:space="preserve">6.UML</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Seleccionar producto.docx</dc:title>
</cp:coreProperties>
</file>