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Ver cuenta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26/11/2012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Roberto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06/03/2013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 y Modificación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Abel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 </w:t>
      </w:r>
      <w:hyperlink w:anchor="id.iv0mx8lu01hk">
        <w:r w:rsidRPr="00000000" w:rsidR="00000000" w:rsidDel="00000000">
          <w:rPr>
            <w:color w:val="1155cc"/>
            <w:u w:val="single"/>
            <w:rtl w:val="0"/>
          </w:rPr>
          <w:t xml:space="preserve">Casos de uso: Ver cuenta 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617t47dzjgw9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2.</w:t>
      </w:r>
      <w:hyperlink w:anchor="id.3bv0wx4rsilb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x4fdo9vvwu47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3.</w:t>
      </w:r>
      <w:hyperlink w:anchor="id.3ct0q2xa2vh2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4.</w:t>
      </w:r>
      <w:hyperlink w:anchor="id.d3lialwnghf3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5.</w:t>
      </w:r>
      <w:hyperlink w:anchor="id.54guxf1ufmo3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6. </w:t>
      </w:r>
      <w:hyperlink w:anchor="id.nnk8fv6a3z5f">
        <w:r w:rsidRPr="00000000" w:rsidR="00000000" w:rsidDel="00000000">
          <w:rPr>
            <w:color w:val="1155cc"/>
            <w:u w:val="single"/>
            <w:rtl w:val="0"/>
          </w:rPr>
          <w:t xml:space="preserve">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 Pantalla de nuestra cuenta lista para sincronizar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0" w:colFirst="0" w:name="id.iv0mx8lu01hk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Pantalla cuenta</w:t>
      </w:r>
    </w:p>
    <w:p w:rsidP="00000000" w:rsidRPr="00000000" w:rsidR="00000000" w:rsidDel="00000000" w:rsidRDefault="00000000">
      <w:pPr>
        <w:spacing w:lineRule="auto" w:line="480"/>
        <w:ind w:firstLine="260"/>
      </w:pPr>
      <w:bookmarkStart w:id="1" w:colFirst="0" w:name="id.617t47dzjgw9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usuario ver la cuenta. Aparecerán todos los pedidos que haya realizado a lo largo de su estancia en el restaurante. Cada vez que el usuario vaya al restaurante la cuenta comenzará vacía.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2" w:colFirst="0" w:name="id.3bv0wx4rsilb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spacing w:lineRule="auto" w:line="480"/>
        <w:ind w:firstLine="260"/>
      </w:pPr>
      <w:bookmarkStart w:id="3" w:colFirst="0" w:name="id.x4fdo9vvwu47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. En la parte inferior de la aplicación, siempre visible, se encuentra el botón cuenta; al que se pue</w:t>
      </w:r>
      <w:r w:rsidRPr="00000000" w:rsidR="00000000" w:rsidDel="00000000">
        <w:rPr>
          <w:rtl w:val="0"/>
        </w:rPr>
        <w:t xml:space="preserve">de acceder para consultar la cuenta acumulada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Tras pulsarlo, aparece un resumen con todos los platos que ha pedido el usuario, las unidades y el coste de los mismos y el coste total a pagar.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4" w:colFirst="0" w:name="id.3ct0q2xa2vh2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5" w:colFirst="0" w:name="id.d3lialwnghf3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Pulsar el botón cuenta.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6" w:colFirst="0" w:name="id.54guxf1ufmo3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El usuario, permanecerá en dicha pantalla, hasta que decida moverse a otra o pulse el botón de atrás del dispositivo.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7" w:colFirst="0" w:name="id.nnk8fv6a3z5f" w:colLast="0"/>
      <w:bookmarkEnd w:id="7"/>
      <w:r w:rsidRPr="00000000" w:rsidR="00000000" w:rsidDel="00000000">
        <w:rPr>
          <w:b w:val="1"/>
          <w:rtl w:val="0"/>
        </w:rPr>
        <w:t xml:space="preserve">6. UML</w:t>
      </w:r>
    </w:p>
    <w:p w:rsidP="00000000" w:rsidRPr="00000000" w:rsidR="00000000" w:rsidDel="00000000" w:rsidRDefault="00000000">
      <w:pPr>
        <w:spacing w:lineRule="auto" w:line="480"/>
        <w:jc w:val="center"/>
      </w:pPr>
      <w:r w:rsidRPr="00000000" w:rsidR="00000000" w:rsidDel="00000000">
        <w:drawing>
          <wp:inline>
            <wp:extent cy="1352550" cx="3657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352550" cx="3657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: Ver cuenta + UML.docx</dc:title>
</cp:coreProperties>
</file>