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Seleccionar número de unidades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9/12/2012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17/12/2012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Álvaro y Juan Diego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09/02/2013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Revisión y Modificación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Abel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</w:pPr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9yrhohuspq28">
        <w:r w:rsidRPr="00000000" w:rsidR="00000000" w:rsidDel="00000000">
          <w:rPr>
            <w:color w:val="1155cc"/>
            <w:u w:val="single"/>
            <w:rtl w:val="0"/>
          </w:rPr>
          <w:t xml:space="preserve"> Casos de uso: Seleccionar la cantidad de platos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mytkc6aah5oq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fwrir63bpj6n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zct7ckq2kcev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fnr74y8bun5j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rn3krjsjuiok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s2wlis8zn1te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6. </w:t>
      </w:r>
      <w:hyperlink w:anchor="id.4a3ta2z13ee3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r w:rsidRPr="00000000" w:rsidR="00000000" w:rsidDel="00000000">
        <w:rPr>
          <w:b w:val="1"/>
          <w:sz w:val="28"/>
          <w:rtl w:val="0"/>
        </w:rPr>
        <w:t xml:space="preserve">Especificación de caso de uso: Seleccionar la cantidad de platos</w:t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0" w:colFirst="0" w:name="id.9yrhohuspq28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Seleccionar la cantidad de platos</w:t>
      </w:r>
    </w:p>
    <w:p w:rsidP="00000000" w:rsidRPr="00000000" w:rsidR="00000000" w:rsidDel="00000000" w:rsidRDefault="00000000">
      <w:pPr>
        <w:spacing w:lineRule="auto" w:line="480"/>
        <w:ind w:firstLine="260"/>
        <w:jc w:val="both"/>
      </w:pPr>
      <w:bookmarkStart w:id="1" w:colFirst="0" w:name="id.mytkc6aah5oq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hanging="29"/>
        <w:jc w:val="both"/>
      </w:pPr>
      <w:r w:rsidRPr="00000000" w:rsidR="00000000" w:rsidDel="00000000">
        <w:rPr>
          <w:rtl w:val="0"/>
        </w:rPr>
        <w:t xml:space="preserve">Este caso de uso le permite al usuario, aumentar o disminuir el número de unidades que desea sobre un plato seleccionado. Por defecto está a uno.</w:t>
      </w: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2" w:colFirst="0" w:name="id.fwrir63bpj6n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spacing w:lineRule="auto" w:line="480"/>
        <w:ind w:firstLine="260"/>
        <w:jc w:val="both"/>
      </w:pPr>
      <w:bookmarkStart w:id="3" w:colFirst="0" w:name="id.zct7ckq2kcev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1. En la parte superior de la pantalla de descripción de plato, debajo de la descripción del mismo, se encuentran dos botones en forma de icono con imágenes del signo “+” y “-”, cuyas funciones son sumar y restar unidades.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2. Si pulsamos sobre el icono “+”, aumentamos en uno el número de unidades, mientras que si pulsamos sobre el icono “-”, disminuimos el número de unidades.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3. En todo momento aparece un indicador entre los dos iconos para que visualicemos el número de unidades que llevamos.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4" w:colFirst="0" w:name="id.fnr74y8bun5j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5" w:colFirst="0" w:name="id.rn3krjsjuiok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Haber seleccionado un plato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jc w:val="both"/>
      </w:pPr>
      <w:bookmarkStart w:id="6" w:colFirst="0" w:name="id.s2wlis8zn1te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El número que aparezca en el indicador situada entre los dos iconos, será el número de unidades que tendremos que configurar y confirmar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480"/>
        <w:ind w:left="0" w:firstLine="0"/>
      </w:pPr>
      <w:bookmarkStart w:id="7" w:colFirst="0" w:name="id.4a3ta2z13ee3" w:colLast="0"/>
      <w:bookmarkEnd w:id="7"/>
      <w:r w:rsidRPr="00000000" w:rsidR="00000000" w:rsidDel="00000000">
        <w:rPr>
          <w:b w:val="1"/>
          <w:rtl w:val="0"/>
        </w:rPr>
        <w:t xml:space="preserve">6. UML</w:t>
      </w:r>
    </w:p>
    <w:p w:rsidP="00000000" w:rsidRPr="00000000" w:rsidR="00000000" w:rsidDel="00000000" w:rsidRDefault="00000000">
      <w:pPr>
        <w:ind w:left="0" w:firstLine="0"/>
        <w:jc w:val="center"/>
      </w:pPr>
      <w:r w:rsidRPr="00000000" w:rsidR="00000000" w:rsidDel="00000000">
        <w:drawing>
          <wp:inline>
            <wp:extent cy="2857500" cx="66675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857500" cx="6667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Seleccionar número de unidadades + UML.docx</dc:title>
</cp:coreProperties>
</file>