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Confirmación de un plato seleccionado de nuestra carta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9/12/2012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17/12/2012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Revisión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Álvaro y Juan Diego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</w:t>
      </w:r>
      <w:hyperlink w:anchor="id.mf4hr7meinta">
        <w:r w:rsidRPr="00000000" w:rsidR="00000000" w:rsidDel="00000000">
          <w:rPr>
            <w:color w:val="1155cc"/>
            <w:u w:val="single"/>
            <w:rtl w:val="0"/>
          </w:rPr>
          <w:t xml:space="preserve"> Casos de uso: Confirmación de un plato seleccionado de nuestra carta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jpeyouxqx5xh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</w:t>
      </w:r>
      <w:hyperlink w:anchor="id.l85crxbz9pb1">
        <w:r w:rsidRPr="00000000" w:rsidR="00000000" w:rsidDel="00000000">
          <w:rPr>
            <w:color w:val="1155cc"/>
            <w:u w:val="single"/>
            <w:rtl w:val="0"/>
          </w:rPr>
          <w:t xml:space="preserve"> Flujo de eventos</w:t>
        </w:r>
      </w:hyperlink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12uktant80pz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</w:t>
      </w:r>
      <w:hyperlink w:anchor="id.rh719b7c5bre">
        <w:r w:rsidRPr="00000000" w:rsidR="00000000" w:rsidDel="00000000">
          <w:rPr>
            <w:color w:val="1155cc"/>
            <w:u w:val="single"/>
            <w:rtl w:val="0"/>
          </w:rPr>
          <w:t xml:space="preserve"> Requisitos especiales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</w:t>
      </w:r>
      <w:hyperlink w:anchor="id.lc39ldxtwjjh">
        <w:r w:rsidRPr="00000000" w:rsidR="00000000" w:rsidDel="00000000">
          <w:rPr>
            <w:color w:val="1155cc"/>
            <w:u w:val="single"/>
            <w:rtl w:val="0"/>
          </w:rPr>
          <w:t xml:space="preserve">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</w:t>
      </w:r>
      <w:hyperlink w:anchor="id.oy1ntm5rpot6">
        <w:r w:rsidRPr="00000000" w:rsidR="00000000" w:rsidDel="00000000">
          <w:rPr>
            <w:color w:val="1155cc"/>
            <w:u w:val="single"/>
            <w:rtl w:val="0"/>
          </w:rPr>
          <w:t xml:space="preserve">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Confirmación de un plato seleccionado de nuestra carta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0" w:colFirst="0" w:name="id.mf4hr7meinta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 : Confirmación de un plato seleccionado de nuestra carta</w:t>
      </w:r>
    </w:p>
    <w:p w:rsidP="00000000" w:rsidRPr="00000000" w:rsidR="00000000" w:rsidDel="00000000" w:rsidRDefault="00000000">
      <w:pPr>
        <w:ind w:firstLine="260"/>
      </w:pPr>
      <w:bookmarkStart w:id="1" w:colFirst="0" w:name="id.jpeyouxqx5xh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hanging="29"/>
      </w:pPr>
      <w:r w:rsidRPr="00000000" w:rsidR="00000000" w:rsidDel="00000000">
        <w:rPr>
          <w:rtl w:val="0"/>
        </w:rPr>
        <w:t xml:space="preserve">Este caso de uso le permite al usuario la confirmación de un plato con sus observaciones, salsas, guarnición, etc</w:t>
      </w:r>
      <w:r w:rsidRPr="00000000" w:rsidR="00000000" w:rsidDel="00000000">
        <w:rPr>
          <w:sz w:val="26"/>
          <w:rtl w:val="0"/>
        </w:rPr>
        <w:t xml:space="preserve">.</w:t>
      </w: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2" w:colFirst="0" w:name="id.l85crxbz9pb1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12uktant80pz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En la parte inferior de la pantalla se encuentra un botón para confirmar el plato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Si pulsamos en el botón, se guarda toda la información seleccionada para ese plato.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rh719b7c5bre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Ninguno.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lc39ldxtwjjh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Estar en la pantalla de descripción de plato.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oy1ntm5rpot6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Guardar información relevante de cada plato seleccionado para tenerla en cuenta en el pedido. Si es el último plato por elegir nos llevará a la pantalla anterior, si no, permaneceremos en la pantalla de descripción, donde podremos elegir las opciones de un nuevo plato.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document/d/16B4OSGZcovAt4IZntLUeugUuXFyO6mRh4hLGtqoOQWU/edit#bookmark=id.spfvog2yymkv" Type="http://schemas.openxmlformats.org/officeDocument/2006/relationships/hyperlink" TargetMode="External" Id="rId6"/><Relationship Target="https://docs.google.com/document/d/16B4OSGZcovAt4IZntLUeugUuXFyO6mRh4hLGtqoOQWU/edit#bookmark=id.ri8y0wq2047w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Sincronizar con el chip --  SIN DEFINIR AÚN.docx</dc:title>
</cp:coreProperties>
</file>