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Cobrar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83kvhej9ffhp">
        <w:r w:rsidRPr="00000000" w:rsidR="00000000" w:rsidDel="00000000">
          <w:rPr>
            <w:color w:val="1155cc"/>
            <w:u w:val="single"/>
            <w:rtl w:val="0"/>
          </w:rPr>
          <w:t xml:space="preserve">1. Casos de uso: Cobrar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1rusmm3axsun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qw28be5onwbx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n4zdqybqrkvp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er4oj0xuqd6j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x49g2ix0vpzw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z4t4r2jdwrv9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hk60q3dzako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Cobrar</w:t>
      </w:r>
    </w:p>
    <w:p w:rsidP="00000000" w:rsidRPr="00000000" w:rsidR="00000000" w:rsidDel="00000000" w:rsidRDefault="00000000">
      <w:pPr/>
      <w:bookmarkStart w:id="0" w:colFirst="0" w:name="id.83kvhej9ffhp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Cobrar</w:t>
      </w:r>
    </w:p>
    <w:p w:rsidP="00000000" w:rsidRPr="00000000" w:rsidR="00000000" w:rsidDel="00000000" w:rsidRDefault="00000000">
      <w:pPr/>
      <w:bookmarkStart w:id="1" w:colFirst="0" w:name="id.1rusmm3axsun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 cobrar todos los platos de una mesa. Es posible aplicar promociones y ofertas que posea el restaurante.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qw28be5onwbx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n4zdqybqrkvp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Elegir los productos deseados y pulsar sobre el botón enviar a cocina.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Una vez tengamos platos para cobrar pulsar sobre el botón cobrar.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Aparecerá un menú preguntando si estamos seguros con las opciones aceptar y cancelar. Si pulsamos cancelar no cobra nada,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Si pulsamos aceptar sale un menú con las promociones disponibles en el restaurante. Seleccionamos una (Hay una opción de cobrar sin promoción), y pulsamos aceptar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4. Imprime la cuenta incluido un código qr con la información de la cuenta.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5. Aparece un mensaje de información que nos dice que el cobro se ha realizado con éxito. Pulsamos en aceptar.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6. Automáticamente esa mesa se cierra y redirige a la pantalla de mesas.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er4oj0xuqd6j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Sólo se cobrarán los platos que han sido enviados a cocina, los que estén en la tabla pero no hayan sido enviados aún, no se cobran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x49g2ix0vpzw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enviado un pedido a cocina.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z4t4r2jdwrv9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Aplica las promociones si se ha elegido esa opción, imprime la cuenta, cobra el pedido, cierra la mesa y vuelve a la pantalla de mesas.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hk60q3dzako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Cobrar.docx</dc:title>
</cp:coreProperties>
</file>