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48"/>
          <w:rtl w:val="0"/>
        </w:rPr>
        <w:t xml:space="preserve">NFCook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8"/>
          <w:rtl w:val="0"/>
        </w:rPr>
        <w:t xml:space="preserve">Especificación de casos de uso: Mover scroll de productos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15/05/2013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Tabla de contenidos</w:t>
      </w:r>
    </w:p>
    <w:p w:rsidP="00000000" w:rsidRPr="00000000" w:rsidR="00000000" w:rsidDel="00000000" w:rsidRDefault="00000000">
      <w:pPr/>
      <w:hyperlink w:anchor="id.lduqw8ydq2dk">
        <w:r w:rsidRPr="00000000" w:rsidR="00000000" w:rsidDel="00000000">
          <w:rPr>
            <w:color w:val="1155cc"/>
            <w:u w:val="single"/>
            <w:rtl w:val="0"/>
          </w:rPr>
          <w:t xml:space="preserve">1. Casos de uso: Mover scroll de productos</w:t>
        </w:r>
      </w:hyperlink>
      <w:r w:rsidRPr="00000000" w:rsidR="00000000" w:rsidDel="00000000">
        <w:rPr>
          <w:rtl w:val="0"/>
        </w:rPr>
      </w:r>
    </w:p>
    <w:p w:rsidP="00000000" w:rsidRPr="00000000" w:rsidR="00000000" w:rsidDel="00000000" w:rsidRDefault="00000000">
      <w:pPr>
        <w:numPr>
          <w:ilvl w:val="0"/>
          <w:numId w:val="2"/>
        </w:numPr>
        <w:ind w:left="720" w:hanging="359"/>
      </w:pPr>
      <w:hyperlink w:anchor="id.uowgkeoygx6d">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hyperlink w:anchor="id.lf7bq0v9syxe">
        <w:r w:rsidRPr="00000000" w:rsidR="00000000" w:rsidDel="00000000">
          <w:rPr>
            <w:color w:val="1155cc"/>
            <w:u w:val="single"/>
            <w:rtl w:val="0"/>
          </w:rPr>
          <w:t xml:space="preserve">2. Flujo de eventos</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ft6r1chg6aq">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hyperlink w:anchor="id.kxq3m7e5mais">
        <w:r w:rsidRPr="00000000" w:rsidR="00000000" w:rsidDel="00000000">
          <w:rPr>
            <w:color w:val="1155cc"/>
            <w:u w:val="single"/>
            <w:rtl w:val="0"/>
          </w:rPr>
          <w:t xml:space="preserve">3. Requisitos especiales</w:t>
        </w:r>
      </w:hyperlink>
      <w:r w:rsidRPr="00000000" w:rsidR="00000000" w:rsidDel="00000000">
        <w:rPr>
          <w:rtl w:val="0"/>
        </w:rPr>
      </w:r>
    </w:p>
    <w:p w:rsidP="00000000" w:rsidRPr="00000000" w:rsidR="00000000" w:rsidDel="00000000" w:rsidRDefault="00000000">
      <w:pPr/>
      <w:hyperlink w:anchor="id.jj9szwq6idbm">
        <w:r w:rsidRPr="00000000" w:rsidR="00000000" w:rsidDel="00000000">
          <w:rPr>
            <w:color w:val="1155cc"/>
            <w:u w:val="single"/>
            <w:rtl w:val="0"/>
          </w:rPr>
          <w:t xml:space="preserve">4. Precondiciones</w:t>
        </w:r>
      </w:hyperlink>
      <w:r w:rsidRPr="00000000" w:rsidR="00000000" w:rsidDel="00000000">
        <w:rPr>
          <w:rtl w:val="0"/>
        </w:rPr>
      </w:r>
    </w:p>
    <w:p w:rsidP="00000000" w:rsidRPr="00000000" w:rsidR="00000000" w:rsidDel="00000000" w:rsidRDefault="00000000">
      <w:pPr/>
      <w:hyperlink w:anchor="id.54sdlujgyr0o">
        <w:r w:rsidRPr="00000000" w:rsidR="00000000" w:rsidDel="00000000">
          <w:rPr>
            <w:color w:val="1155cc"/>
            <w:u w:val="single"/>
            <w:rtl w:val="0"/>
          </w:rPr>
          <w:t xml:space="preserve">5. Postcondiciones</w:t>
        </w:r>
      </w:hyperlink>
      <w:r w:rsidRPr="00000000" w:rsidR="00000000" w:rsidDel="00000000">
        <w:rPr>
          <w:rtl w:val="0"/>
        </w:rPr>
      </w:r>
    </w:p>
    <w:p w:rsidP="00000000" w:rsidRPr="00000000" w:rsidR="00000000" w:rsidDel="00000000" w:rsidRDefault="00000000">
      <w:pPr/>
      <w:hyperlink w:anchor="id.clcv3jua8kxo">
        <w:r w:rsidRPr="00000000" w:rsidR="00000000" w:rsidDel="00000000">
          <w:rPr>
            <w:color w:val="1155cc"/>
            <w:u w:val="single"/>
            <w:rtl w:val="0"/>
          </w:rPr>
          <w:t xml:space="preserve">6. UML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Especificación de caso de uso: Mover scroll de productos</w:t>
      </w:r>
    </w:p>
    <w:p w:rsidP="00000000" w:rsidRPr="00000000" w:rsidR="00000000" w:rsidDel="00000000" w:rsidRDefault="00000000">
      <w:pPr/>
      <w:bookmarkStart w:id="0" w:colFirst="0" w:name="id.lduqw8ydq2dk" w:colLast="0"/>
      <w:bookmarkEnd w:id="0"/>
      <w:r w:rsidRPr="00000000" w:rsidR="00000000" w:rsidDel="00000000">
        <w:rPr>
          <w:b w:val="1"/>
          <w:sz w:val="24"/>
          <w:rtl w:val="0"/>
        </w:rPr>
        <w:t xml:space="preserve">1. Casos de uso: Mover scroll de productos</w:t>
      </w:r>
    </w:p>
    <w:p w:rsidP="00000000" w:rsidRPr="00000000" w:rsidR="00000000" w:rsidDel="00000000" w:rsidRDefault="00000000">
      <w:pPr/>
      <w:bookmarkStart w:id="1" w:colFirst="0" w:name="id.uowgkeoygx6d" w:colLast="0"/>
      <w:bookmarkEnd w:id="1"/>
      <w:r w:rsidRPr="00000000" w:rsidR="00000000" w:rsidDel="00000000">
        <w:rPr>
          <w:b w:val="1"/>
          <w:rtl w:val="0"/>
        </w:rPr>
        <w:t xml:space="preserve">1.1 Descripción breve</w:t>
      </w:r>
    </w:p>
    <w:p w:rsidP="00000000" w:rsidRPr="00000000" w:rsidR="00000000" w:rsidDel="00000000" w:rsidRDefault="00000000">
      <w:pPr>
        <w:ind w:firstLine="720"/>
      </w:pPr>
      <w:r w:rsidRPr="00000000" w:rsidR="00000000" w:rsidDel="00000000">
        <w:rPr>
          <w:rtl w:val="0"/>
        </w:rPr>
        <w:t xml:space="preserve">Este caso de uso le permite al camarero, a través de dos botones, poder acceder a platos que estén más abajo(o más arriba) del límite del panel donde se muestran los productos. Ambos botones tienen efecto sobre el scroll, pero están para hacerlo más sencillo en una pantalla táctil como la del TPV.</w:t>
      </w:r>
    </w:p>
    <w:p w:rsidP="00000000" w:rsidRPr="00000000" w:rsidR="00000000" w:rsidDel="00000000" w:rsidRDefault="00000000">
      <w:pPr>
        <w:ind w:firstLine="720"/>
      </w:pPr>
      <w:r w:rsidRPr="00000000" w:rsidR="00000000" w:rsidDel="00000000">
        <w:rPr>
          <w:rtl w:val="0"/>
        </w:rPr>
        <w:t xml:space="preserve"> </w:t>
      </w:r>
    </w:p>
    <w:p w:rsidP="00000000" w:rsidRPr="00000000" w:rsidR="00000000" w:rsidDel="00000000" w:rsidRDefault="00000000">
      <w:pPr/>
      <w:bookmarkStart w:id="2" w:colFirst="0" w:name="id.lf7bq0v9syxe" w:colLast="0"/>
      <w:bookmarkEnd w:id="2"/>
      <w:r w:rsidRPr="00000000" w:rsidR="00000000" w:rsidDel="00000000">
        <w:rPr>
          <w:b w:val="1"/>
          <w:sz w:val="24"/>
          <w:rtl w:val="0"/>
        </w:rPr>
        <w:t xml:space="preserve">2. Flujo de eventos</w:t>
      </w:r>
    </w:p>
    <w:p w:rsidP="00000000" w:rsidRPr="00000000" w:rsidR="00000000" w:rsidDel="00000000" w:rsidRDefault="00000000">
      <w:pPr>
        <w:ind w:firstLine="260"/>
      </w:pPr>
      <w:bookmarkStart w:id="3" w:colFirst="0" w:name="id.ft6r1chg6aq" w:colLast="0"/>
      <w:bookmarkEnd w:id="3"/>
      <w:r w:rsidRPr="00000000" w:rsidR="00000000" w:rsidDel="00000000">
        <w:rPr>
          <w:b w:val="1"/>
          <w:rtl w:val="0"/>
        </w:rPr>
        <w:t xml:space="preserve">2.1 Flujo básico</w:t>
      </w:r>
    </w:p>
    <w:p w:rsidP="00000000" w:rsidRPr="00000000" w:rsidR="00000000" w:rsidDel="00000000" w:rsidRDefault="00000000">
      <w:pPr>
        <w:ind w:left="720" w:firstLine="0"/>
      </w:pPr>
      <w:r w:rsidRPr="00000000" w:rsidR="00000000" w:rsidDel="00000000">
        <w:rPr>
          <w:rtl w:val="0"/>
        </w:rPr>
        <w:t xml:space="preserve">1. Pulsar sobre el botón de la flecha ascendente si se desea ver platos más arriba del límite del panel.</w:t>
      </w:r>
    </w:p>
    <w:p w:rsidP="00000000" w:rsidRPr="00000000" w:rsidR="00000000" w:rsidDel="00000000" w:rsidRDefault="00000000">
      <w:pPr>
        <w:ind w:left="720" w:firstLine="0"/>
      </w:pPr>
      <w:r w:rsidRPr="00000000" w:rsidR="00000000" w:rsidDel="00000000">
        <w:rPr>
          <w:rtl w:val="0"/>
        </w:rPr>
        <w:t xml:space="preserve"> Pulsar sobre el botón de la flecha descendente si se desea ver platos más abajo del límite del panel.</w:t>
      </w:r>
    </w:p>
    <w:p w:rsidP="00000000" w:rsidRPr="00000000" w:rsidR="00000000" w:rsidDel="00000000" w:rsidRDefault="00000000">
      <w:pPr>
        <w:ind w:left="720" w:firstLine="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bookmarkStart w:id="4" w:colFirst="0" w:name="id.kxq3m7e5mais" w:colLast="0"/>
      <w:bookmarkEnd w:id="4"/>
      <w:r w:rsidRPr="00000000" w:rsidR="00000000" w:rsidDel="00000000">
        <w:rPr>
          <w:b w:val="1"/>
          <w:sz w:val="24"/>
          <w:rtl w:val="0"/>
        </w:rPr>
        <w:t xml:space="preserve">3. Requisitos especiales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Es necesario que haya una cantidad de productos superior a la que cabe en el panel.</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5" w:colFirst="0" w:name="id.jj9szwq6idbm" w:colLast="0"/>
      <w:bookmarkEnd w:id="5"/>
      <w:r w:rsidRPr="00000000" w:rsidR="00000000" w:rsidDel="00000000">
        <w:rPr>
          <w:b w:val="1"/>
          <w:sz w:val="24"/>
          <w:rtl w:val="0"/>
        </w:rPr>
        <w:t xml:space="preserve">4. Pre-condiciones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Estar en la pantalla de platos en TPV y haber seleccionado una categoría.</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6" w:colFirst="0" w:name="id.54sdlujgyr0o" w:colLast="0"/>
      <w:bookmarkEnd w:id="6"/>
      <w:r w:rsidRPr="00000000" w:rsidR="00000000" w:rsidDel="00000000">
        <w:rPr>
          <w:b w:val="1"/>
          <w:sz w:val="24"/>
          <w:rtl w:val="0"/>
        </w:rPr>
        <w:t xml:space="preserve">5. Post-condiciones</w:t>
      </w:r>
    </w:p>
    <w:p w:rsidP="00000000" w:rsidRPr="00000000" w:rsidR="00000000" w:rsidDel="00000000" w:rsidRDefault="00000000">
      <w:pPr>
        <w:ind w:firstLine="720"/>
      </w:pPr>
      <w:r w:rsidRPr="00000000" w:rsidR="00000000" w:rsidDel="00000000">
        <w:rPr>
          <w:rtl w:val="0"/>
        </w:rPr>
        <w:t xml:space="preserve">Desplaza el scroll del panel, más abajo o más arriba dependiendo del botón pulsado. </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bookmarkStart w:id="7" w:colFirst="0" w:name="id.clcv3jua8kxo" w:colLast="0"/>
      <w:bookmarkEnd w:id="7"/>
      <w:r w:rsidRPr="00000000" w:rsidR="00000000" w:rsidDel="00000000">
        <w:rPr>
          <w:b w:val="1"/>
          <w:rtl w:val="0"/>
        </w:rPr>
        <w:t xml:space="preserve">6.UML</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Mover scroll de productos.docx</dc:title>
</cp:coreProperties>
</file>