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Seleccionar categoría de plato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06/03/2013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Abel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 </w:t>
      </w:r>
      <w:hyperlink w:anchor="id.iv0mx8lu01hk">
        <w:r w:rsidRPr="00000000" w:rsidR="00000000" w:rsidDel="00000000">
          <w:rPr>
            <w:color w:val="1155cc"/>
            <w:u w:val="single"/>
            <w:rtl w:val="0"/>
          </w:rPr>
          <w:t xml:space="preserve">Casos de uso: </w:t>
        </w:r>
      </w:hyperlink>
      <w:hyperlink w:anchor="id.iv0mx8lu01hk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Seleccionar categoría de plato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617t47dzjgw9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2.</w:t>
      </w:r>
      <w:hyperlink w:anchor="id.3bv0wx4rsilb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x4fdo9vvwu47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3.</w:t>
      </w:r>
      <w:hyperlink w:anchor="id.3ct0q2xa2vh2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4.</w:t>
      </w:r>
      <w:hyperlink w:anchor="id.d3lialwnghf3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5.</w:t>
      </w:r>
      <w:hyperlink w:anchor="id.54guxf1ufmo3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6. </w:t>
      </w:r>
      <w:hyperlink w:anchor="id.s9w9qgxomgim">
        <w:r w:rsidRPr="00000000" w:rsidR="00000000" w:rsidDel="00000000">
          <w:rPr>
            <w:color w:val="1155cc"/>
            <w:u w:val="single"/>
            <w:rtl w:val="0"/>
          </w:rPr>
          <w:t xml:space="preserve">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8"/>
          <w:rtl w:val="0"/>
        </w:rPr>
        <w:t xml:space="preserve">Especificación de caso de uso:  Seleccionar categoría de plato</w:t>
        <w:tab/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0" w:colFirst="0" w:name="id.iv0mx8lu01hk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Seleccionar categoría de plato</w:t>
      </w:r>
    </w:p>
    <w:p w:rsidP="00000000" w:rsidRPr="00000000" w:rsidR="00000000" w:rsidDel="00000000" w:rsidRDefault="00000000">
      <w:pPr>
        <w:spacing w:lineRule="auto" w:line="480"/>
        <w:ind w:firstLine="260"/>
        <w:jc w:val="both"/>
      </w:pPr>
      <w:bookmarkStart w:id="1" w:colFirst="0" w:name="id.617t47dzjgw9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Este caso de uso permite al usuario ver los distintos platos que existen dentro de una determinada categoría del restaurante que ha seleccionado. 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2" w:colFirst="0" w:name="id.3bv0wx4rsilb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spacing w:lineRule="auto" w:line="480"/>
        <w:ind w:firstLine="260"/>
        <w:jc w:val="both"/>
      </w:pPr>
      <w:bookmarkStart w:id="3" w:colFirst="0" w:name="id.x4fdo9vvwu47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rtl w:val="0"/>
        </w:rPr>
        <w:t xml:space="preserve">. En la parte superior de la aplicación, siempre visible, se encuentran las distintas categorías de platos que ofrece el restaurante.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2. Tras pulsar alguna de ellas, se mostrará al usuario todos los platos que engloba dicha categoría.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4" w:colFirst="0" w:name="id.3ct0q2xa2vh2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5" w:colFirst="0" w:name="id.d3lialwnghf3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Haber seleccionado algún restaurante.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6" w:colFirst="0" w:name="id.54guxf1ufmo3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El usuario, permanecerá en dicha pantalla, hasta que decida moverse a otra o pulse el botón de atrás del dispositivo.</w:t>
      </w:r>
    </w:p>
    <w:p w:rsidP="00000000" w:rsidRPr="00000000" w:rsidR="00000000" w:rsidDel="00000000" w:rsidRDefault="00000000">
      <w:pPr>
        <w:jc w:val="both"/>
      </w:pPr>
      <w:bookmarkStart w:id="7" w:colFirst="0" w:name="id.s9w9qgxomgim" w:colLast="0"/>
      <w:bookmarkEnd w:id="7"/>
      <w:r w:rsidRPr="00000000" w:rsidR="00000000" w:rsidDel="00000000">
        <w:rPr>
          <w:b w:val="1"/>
          <w:rtl w:val="0"/>
        </w:rPr>
        <w:t xml:space="preserve">6. UML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1038225" cx="416242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038225" cx="41624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: Seleccionar categoría de plato + UML.docx</dc:title>
</cp:coreProperties>
</file>