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Ver promociones del restaurante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26/11/2012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Daniel y Javier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09/03/2012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Revisión y Modificación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Abel y Carlos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onkwuwme45g3">
        <w:r w:rsidRPr="00000000" w:rsidR="00000000" w:rsidDel="00000000">
          <w:rPr>
            <w:color w:val="1155cc"/>
            <w:u w:val="single"/>
            <w:rtl w:val="0"/>
          </w:rPr>
          <w:t xml:space="preserve"> Casos de uso: Ver promociones del restaurante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f53mbhxswey1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ri8y0wq2047w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mhwk292h0n5p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spfvog2yymkv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da8kqeuzcpcv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d7cnwykoqdjs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 </w:t>
      </w:r>
      <w:hyperlink w:anchor="id.8peyzxunsbul">
        <w:r w:rsidRPr="00000000" w:rsidR="00000000" w:rsidDel="00000000">
          <w:rPr>
            <w:color w:val="1155cc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Ver promociones del restaurante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0" w:colFirst="0" w:name="id.onkwuwme45g3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Ver promociones del restaurante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1" w:colFirst="0" w:name="id.f53mbhxswey1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le permite al usuario visualizar las promociones que posee el restaurante en su página web.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2" w:colFirst="0" w:name="id.ri8y0wq2047w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3" w:colFirst="0" w:name="id.mhwk292h0n5p" w:colLast="0"/>
      <w:bookmarkEnd w:id="3"/>
      <w:r w:rsidRPr="00000000" w:rsidR="00000000" w:rsidDel="00000000">
        <w:rPr>
          <w:b w:val="1"/>
          <w:rtl w:val="0"/>
        </w:rPr>
        <w:t xml:space="preserve">2.1 Flujo básico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inferior de la pantalla se encuentra el botón de promociones.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el botón se abrirá su ventana correspondiente.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Se cargará en la ventana la página web del restaurante en el apartado de promociones, para que el usuario pueda visualizar las ventajas de las que puede beneficiarse.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4" w:colFirst="0" w:name="id.spfvog2yymkv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Tener acceso a internet.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5" w:colFirst="0" w:name="id.da8kqeuzcpcv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Haber seleccionado un restaurante.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6" w:colFirst="0" w:name="id.d7cnwykoqdjs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Se mantendrá en dicha pantalla, hasta que se seleccione otra opción de la aplicación o pulse el botón atrás de su dispositivo.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</w:pPr>
      <w:bookmarkStart w:id="7" w:colFirst="0" w:name="id.8peyzxunsbul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1771650" cx="63436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771650" cx="6343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: Ver promociones + UML.docx</dc:title>
</cp:coreProperties>
</file>