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b/>
          <w:bCs/>
          <w:color w:val="40BDE0"/>
          <w:sz w:val="30"/>
          <w:szCs w:val="30"/>
        </w:rPr>
        <w:t xml:space="preserve">AgentOS PME</w:t>
      </w:r>
    </w:p>
    <w:p>
      <w:pPr>
        <w:pBdr>
          <w:bottom w:val="single" w:color="021533" w:sz="12" w:space="8"/>
        </w:pBdr>
        <w:spacing w:after="0" w:before="80"/>
      </w:pPr>
      <w:r>
        <w:rPr>
          <w:b/>
          <w:bCs/>
          <w:color w:val="021533"/>
          <w:sz w:val="60"/>
          <w:szCs w:val="60"/>
        </w:rPr>
        <w:t xml:space="preserve">Cahier des charges</w:t>
      </w:r>
    </w:p>
    <w:p>
      <w:pPr>
        <w:spacing w:after="0" w:before="160"/>
      </w:pPr>
      <w:r>
        <w:rPr>
          <w:color w:val="555555"/>
          <w:sz w:val="30"/>
          <w:szCs w:val="30"/>
        </w:rPr>
        <w:t xml:space="preserve">détaillé — prêt pour le développement</w:t>
      </w:r>
    </w:p>
    <w:p>
      <w:pPr>
        <w:spacing w:after="0" w:before="200"/>
      </w:pPr>
      <w:r>
        <w:rPr>
          <w:color w:val="021533"/>
          <w:sz w:val="30"/>
          <w:szCs w:val="30"/>
        </w:rPr>
        <w:t xml:space="preserve">Module Agent Ops &amp; Delivery — MVP</w:t>
      </w:r>
    </w:p>
    <w:p>
      <w:pPr>
        <w:spacing w:after="0" w:before="1400"/>
      </w:pPr>
      <w:r>
        <w:rPr>
          <w:b/>
          <w:bCs/>
          <w:color w:val="021533"/>
          <w:sz w:val="24"/>
          <w:szCs w:val="24"/>
        </w:rPr>
        <w:t xml:space="preserve">Document de référence — cadrage et spécifications intermédiaires</w:t>
      </w:r>
    </w:p>
    <w:p>
      <w:pPr>
        <w:spacing w:after="0" w:before="40"/>
      </w:pPr>
      <w:r>
        <w:rPr>
          <w:i/>
          <w:iCs/>
          <w:color w:val="555555"/>
          <w:sz w:val="22"/>
          <w:szCs w:val="22"/>
        </w:rPr>
        <w:t xml:space="preserve">Niveau : algorithmes, structures de données et règles métier (hors code et SQL)</w:t>
      </w:r>
    </w:p>
    <w:p>
      <w:pPr>
        <w:spacing w:after="0" w:before="2000"/>
      </w:pPr>
      <w:r>
        <w:rPr>
          <w:color w:val="555555"/>
          <w:sz w:val="20"/>
          <w:szCs w:val="20"/>
        </w:rPr>
        <w:t xml:space="preserve">Version 2.0  ·  Juin 2026  ·  Confidentiel — usage interne</w:t>
      </w:r>
    </w:p>
    <w:p>
      <w:pPr>
        <w:spacing w:after="0" w:before="40"/>
      </w:pPr>
      <w:r>
        <w:rPr>
          <w:color w:val="555555"/>
          <w:sz w:val="20"/>
          <w:szCs w:val="20"/>
        </w:rPr>
        <w:t xml:space="preserve">Kebe Agency — AgentOS PME</w:t>
      </w:r>
    </w:p>
    <w:p>
      <w:pPr>
        <w:sectPr>
          <w:pgSz w:w="12240" w:h="15840" w:orient="portrait"/>
          <w:pgMar w:top="1440" w:right="1440" w:bottom="1440" w:left="1440" w:header="708" w:footer="708" w:gutter="0"/>
          <w:pgNumType/>
          <w:docGrid w:linePitch="360"/>
        </w:sectPr>
      </w:pPr>
    </w:p>
    <w:p>
      <w:pPr>
        <w:spacing w:after="160"/>
      </w:pPr>
      <w:r>
        <w:rPr>
          <w:b/>
          <w:bCs/>
          <w:color w:val="021533"/>
          <w:sz w:val="28"/>
          <w:szCs w:val="28"/>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Note de cadrage et périmètre du document</w:t>
      </w:r>
    </w:p>
    <w:p>
      <w:pPr>
        <w:spacing w:after="120" w:line="276"/>
      </w:pPr>
      <w:r>
        <w:t xml:space="preserve">Ce document est la référence unique de développement du module Agent Ops &amp; Delivery. Il combine le cadrage (besoin, objectifs, périmètre) et les spécifications fonctionnelles détaillées au niveau intermédiaire : chaque comportement attendu est décrit par sa logique, ses entrées, ses règles de décision et ses sorties. Le modèle de données est spécifié par ses entités, attributs et relations.</w:t>
      </w:r>
    </w:p>
    <w:p>
      <w:pPr>
        <w:spacing w:after="120" w:line="276"/>
      </w:pPr>
      <w:r>
        <w:t xml:space="preserve">Ce que ce document fait : il permet à un développeur de savoir exactement quoi construire, dans quel ordre, et selon quelles règles. Ce qu'il ne fait pas : il ne fournit ni le schéma SQL, ni les signatures de fonctions, ni le code. Ces éléments sont à produire par l'équipe technique à partir des structures décrites ici, et relèvent de la liberté d'implémentation du 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0BDE0" w:sz="24"/>
              <w:bottom w:val="none"/>
              <w:right w:val="none"/>
            </w:tcBorders>
            <w:shd w:fill="EAF4F9" w:val="clear"/>
            <w:tcMar>
              <w:top w:type="dxa" w:w="120"/>
              <w:left w:type="dxa" w:w="200"/>
              <w:bottom w:type="dxa" w:w="120"/>
              <w:right w:type="dxa" w:w="160"/>
            </w:tcMar>
          </w:tcPr>
          <w:p>
            <w:pPr>
              <w:spacing w:after="60"/>
            </w:pPr>
            <w:r>
              <w:rPr>
                <w:b/>
                <w:bCs/>
                <w:color w:val="021533"/>
                <w:sz w:val="21"/>
                <w:szCs w:val="21"/>
              </w:rPr>
              <w:t xml:space="preserve">Convention de lecture</w:t>
            </w:r>
          </w:p>
          <w:p>
            <w:r>
              <w:rPr>
                <w:sz w:val="21"/>
                <w:szCs w:val="21"/>
              </w:rPr>
              <w:t xml:space="preserve">Les sections 1 à 3 cadrent le besoin et le périmètre. Les sections 4 à 11 spécifient le comportement et les données. Les sections 12 à 15 fixent les contraintes, critères de réussite, risques et plan de réalisation. Chaque exigence fonctionnelle porte un identifiant (EF-n) réutilisable en suivi de développement.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Associé</w:t>
            </w:r>
          </w:p>
        </w:tc>
        <w:tc>
          <w:tcPr>
            <w:tcW w:type="dxa" w:w="240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Rôle</w:t>
            </w:r>
          </w:p>
        </w:tc>
        <w:tc>
          <w:tcPr>
            <w:tcW w:type="dxa" w:w="456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Responsabilité sur ce module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Ibrahim Kebe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CTO — Head of AI Eng.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Faisabilité, architecture, réalisation, validation technique</w:t>
            </w:r>
          </w:p>
        </w:tc>
      </w:tr>
      <w:tr>
        <w:tc>
          <w:tcPr>
            <w:tcW w:type="dxa" w:w="24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Yacouba</w:t>
            </w:r>
          </w:p>
        </w:tc>
        <w:tc>
          <w:tcPr>
            <w:tcW w:type="dxa" w:w="24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CEO — Produit</w:t>
            </w:r>
          </w:p>
        </w:tc>
        <w:tc>
          <w:tcPr>
            <w:tcW w:type="dxa" w:w="45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Vision produit, priorisation, validation fonctionnelle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Aliou</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CMO — Marché</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Positionnement, cible, validation de la proposition de valeur</w:t>
            </w:r>
          </w:p>
        </w:tc>
      </w:tr>
    </w:tbl>
    <w:p>
      <w:pPr>
        <w:pStyle w:val="Heading1"/>
      </w:pPr>
      <w:r>
        <w:t xml:space="preserve">1. Contexte et problème racine</w:t>
      </w:r>
    </w:p>
    <w:p>
      <w:pPr>
        <w:spacing w:after="120" w:line="276"/>
      </w:pPr>
      <w:r>
        <w:t xml:space="preserve">Les PME pilotent leur activité opérationnelle à travers des conversations dispersées — emails, messageries, échanges oraux — et non à travers un système structuré. Il en découle un problème racine unique : l'information opérationnelle n'est consignée nulle part de manière exploitable. Elle vit dans les boîtes de réception et dans la tête du dirigeant.</w:t>
      </w:r>
    </w:p>
    <w:p>
      <w:pPr>
        <w:spacing w:after="120" w:line="276"/>
      </w:pPr>
      <w:r>
        <w:t xml:space="preserve">Les six douleurs ciblées — charge mentale, engagements évaporés, silences non détectés, reporting artisanal, relances oubliées, connaissance non transmissible — sont toutes des conséquences de ce problème racine. C'est ce qui permet à une seule mécanique d'agent de les adresser 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21533" w:sz="24"/>
              <w:bottom w:val="none"/>
              <w:right w:val="none"/>
            </w:tcBorders>
            <w:shd w:fill="EAF4F9" w:val="clear"/>
            <w:tcMar>
              <w:top w:type="dxa" w:w="120"/>
              <w:left w:type="dxa" w:w="200"/>
              <w:bottom w:type="dxa" w:w="120"/>
              <w:right w:type="dxa" w:w="160"/>
            </w:tcMar>
          </w:tcPr>
          <w:p>
            <w:pPr>
              <w:spacing w:after="60"/>
            </w:pPr>
            <w:r>
              <w:rPr>
                <w:b/>
                <w:bCs/>
                <w:color w:val="021533"/>
                <w:sz w:val="21"/>
                <w:szCs w:val="21"/>
              </w:rPr>
              <w:t xml:space="preserve">Principe fondateur — contrainte d'architecture</w:t>
            </w:r>
          </w:p>
          <w:p>
            <w:r>
              <w:rPr>
                <w:sz w:val="21"/>
                <w:szCs w:val="21"/>
              </w:rPr>
              <w:t xml:space="preserve">Le module modélise des engagements, jamais le métier. La grammaire d'un engagement (qui a promis quoi, à qui, pour quand) est identique dans tous les secteurs ; seul le vocabulaire change. Aucune règle sectorielle n'est codée : le secteur est un paramètre de contexte, jamais un prérequis de configuration. Cette contrainte conditionne tout le reste du document.</w:t>
            </w:r>
          </w:p>
        </w:tc>
      </w:tr>
    </w:tbl>
    <w:p>
      <w:pPr>
        <w:pStyle w:val="Heading1"/>
      </w:pPr>
      <w:r>
        <w:t xml:space="preserve">2. Objectifs</w:t>
      </w:r>
    </w:p>
    <w:p>
      <w:pPr>
        <w:pStyle w:val="Heading2"/>
      </w:pPr>
      <w:r>
        <w:t xml:space="preserve">2.1 Objectif général</w:t>
      </w:r>
    </w:p>
    <w:p>
      <w:pPr>
        <w:spacing w:after="120" w:line="276"/>
      </w:pPr>
      <w:r>
        <w:t xml:space="preserve">Livrer un agent qui, sans configuration ni saisie, lit les canaux de communication existants d'une PME, en extrait les engagements pris, les surveille dans le temps, et restitue au dirigeant une vision actionnable assortie de suggestions d'action validables d'un clic.</w:t>
      </w:r>
    </w:p>
    <w:p>
      <w:pPr>
        <w:pStyle w:val="Heading2"/>
      </w:pPr>
      <w:r>
        <w:t xml:space="preserve">2.2 Objectifs spécifiques mesurables</w:t>
      </w:r>
    </w:p>
    <w:p>
      <w:pPr>
        <w:pStyle w:val="ListParagraph"/>
        <w:numPr>
          <w:ilvl w:val="0"/>
          <w:numId w:val="2"/>
        </w:numPr>
        <w:spacing w:after="60" w:line="276"/>
      </w:pPr>
      <w:r>
        <w:t xml:space="preserve">Valeur utile dès J+1, sans configuration préalable (Miroir d'activité).</w:t>
      </w:r>
    </w:p>
    <w:p>
      <w:pPr>
        <w:pStyle w:val="ListParagraph"/>
        <w:numPr>
          <w:ilvl w:val="0"/>
          <w:numId w:val="2"/>
        </w:numPr>
        <w:spacing w:after="60" w:line="276"/>
      </w:pPr>
      <w:r>
        <w:t xml:space="preserve">Réduction de la charge mentale par externalisation du suivi des engagements.</w:t>
      </w:r>
    </w:p>
    <w:p>
      <w:pPr>
        <w:pStyle w:val="ListParagraph"/>
        <w:numPr>
          <w:ilvl w:val="0"/>
          <w:numId w:val="2"/>
        </w:numPr>
        <w:spacing w:after="60" w:line="276"/>
      </w:pPr>
      <w:r>
        <w:t xml:space="preserve">Détection en amont des risques (échéances, silences, contradictions) avant la crise.</w:t>
      </w:r>
    </w:p>
    <w:p>
      <w:pPr>
        <w:pStyle w:val="ListParagraph"/>
        <w:numPr>
          <w:ilvl w:val="0"/>
          <w:numId w:val="2"/>
        </w:numPr>
        <w:spacing w:after="60" w:line="276"/>
      </w:pPr>
      <w:r>
        <w:t xml:space="preserve">Remplacement du reporting manuel hebdomadaire par un digest automatique.</w:t>
      </w:r>
    </w:p>
    <w:p>
      <w:pPr>
        <w:pStyle w:val="ListParagraph"/>
        <w:numPr>
          <w:ilvl w:val="0"/>
          <w:numId w:val="2"/>
        </w:numPr>
        <w:spacing w:after="60" w:line="276"/>
      </w:pPr>
      <w:r>
        <w:t xml:space="preserve">Calibration par correction simple, sans expertise technique du dirigeant, sous 2 à 3 semaines.</w:t>
      </w:r>
    </w:p>
    <w:p>
      <w:pPr>
        <w:pStyle w:val="Heading1"/>
      </w:pPr>
      <w:r>
        <w:t xml:space="preserve">3. Périmètre</w:t>
      </w:r>
    </w:p>
    <w:p>
      <w:pPr>
        <w:pStyle w:val="Heading2"/>
      </w:pPr>
      <w:r>
        <w:t xml:space="preserve">3.1 Dans le périmètre du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Domaine</w:t>
            </w:r>
          </w:p>
        </w:tc>
        <w:tc>
          <w:tcPr>
            <w:tcW w:type="dxa" w:w="616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Inclus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Canaux (lecture seule)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Email (Gmail OU Outlook, un seul) + Google Sheets en lecture</w:t>
            </w:r>
          </w:p>
        </w:tc>
      </w:tr>
      <w:tr>
        <w:tc>
          <w:tcPr>
            <w:tcW w:type="dxa" w:w="32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Extraction</w:t>
            </w:r>
          </w:p>
        </w:tc>
        <w:tc>
          <w:tcPr>
            <w:tcW w:type="dxa" w:w="61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Identification automatique des engagements depuis les communications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Surveillance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5 détecteurs permanents (section 7)</w:t>
            </w:r>
          </w:p>
        </w:tc>
      </w:tr>
      <w:tr>
        <w:tc>
          <w:tcPr>
            <w:tcW w:type="dxa" w:w="32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Contexte</w:t>
            </w:r>
          </w:p>
        </w:tc>
        <w:tc>
          <w:tcPr>
            <w:tcW w:type="dxa" w:w="61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Capsule hybride : faits inférés corrigés + 3 questions d'intention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Graphe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Liens de dépendance entre engagements, par heuristique + confirmation</w:t>
            </w:r>
          </w:p>
        </w:tc>
      </w:tr>
      <w:tr>
        <w:tc>
          <w:tcPr>
            <w:tcW w:type="dxa" w:w="32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Livrables</w:t>
            </w:r>
          </w:p>
        </w:tc>
        <w:tc>
          <w:tcPr>
            <w:tcW w:type="dxa" w:w="61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Miroir J+1, digest quotidien/hebdo, alertes, brouillons d'action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Agentivité</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Jusqu'à l'action sur validation explicite (marche 3)</w:t>
            </w:r>
          </w:p>
        </w:tc>
      </w:tr>
      <w:tr>
        <w:tc>
          <w:tcPr>
            <w:tcW w:type="dxa" w:w="32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Apprentissage</w:t>
            </w:r>
          </w:p>
        </w:tc>
        <w:tc>
          <w:tcPr>
            <w:tcW w:type="dxa" w:w="61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Correction d'un geste, mémorisée comme règle lisible par client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Traçabilité</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Audit trail complet, mémoire de règles par client</w:t>
            </w:r>
          </w:p>
        </w:tc>
      </w:tr>
    </w:tbl>
    <w:p>
      <w:pPr>
        <w:pStyle w:val="Heading2"/>
      </w:pPr>
      <w:r>
        <w:t xml:space="preserve">3.2 Hors périmètre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Élément exclu</w:t>
            </w:r>
          </w:p>
        </w:tc>
        <w:tc>
          <w:tcPr>
            <w:tcW w:type="dxa" w:w="468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Échéance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Connecteur WhatsApp Business API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Fast-follow (mois 4–6), sprint dédié</w:t>
            </w:r>
          </w:p>
        </w:tc>
      </w:tr>
      <w:tr>
        <w:tc>
          <w:tcPr>
            <w:tcW w:type="dxa" w:w="468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Gmail ET Outlook simultanés</w:t>
            </w:r>
          </w:p>
        </w:tc>
        <w:tc>
          <w:tcPr>
            <w:tcW w:type="dxa" w:w="468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Phase ultérieure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Connecteurs CRM (Sellsy, Pipedrive, Notion)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Phase 2</w:t>
            </w:r>
          </w:p>
        </w:tc>
      </w:tr>
      <w:tr>
        <w:tc>
          <w:tcPr>
            <w:tcW w:type="dxa" w:w="468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Canal vocal / dictée</w:t>
            </w:r>
          </w:p>
        </w:tc>
        <w:tc>
          <w:tcPr>
            <w:tcW w:type="dxa" w:w="468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Phase 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Action autonome sans validation (marche 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Phase 2 — jamais par défaut</w:t>
            </w:r>
          </w:p>
        </w:tc>
      </w:tr>
    </w:tbl>
    <w:p>
      <w:pPr>
        <w:pStyle w:val="Heading2"/>
      </w:pPr>
      <w:r>
        <w:t xml:space="preserve">3.3 Dérisquage anticipé (hors dev)</w:t>
      </w:r>
    </w:p>
    <w:p>
      <w:pPr>
        <w:spacing w:after="120" w:line="276"/>
      </w:pPr>
      <w:r>
        <w:t xml:space="preserve">Le connecteur WhatsApp Business API doit être dérisqué administrativement dès maintenant (compte Meta Business, vérification, choix du fournisseur d'accès BSP), les délais d'approbation étant longs et indépendants du développement. Tâche confiée au CTO en parallèle du MVP.</w:t>
      </w:r>
    </w:p>
    <w:p>
      <w:pPr>
        <w:pStyle w:val="Heading1"/>
      </w:pPr>
      <w:r>
        <w:t xml:space="preserve">4. Architecture fonctionnelle — les 4 couches</w:t>
      </w:r>
    </w:p>
    <w:p>
      <w:pPr>
        <w:spacing w:after="120" w:line="276"/>
      </w:pPr>
      <w:r>
        <w:t xml:space="preserve">Le module s'organise en quatre couches, du flux entrant vers le livrable. Chaque couche a une responsabilité unique et communique avec la suivante par des données structurées.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Couche</w:t>
            </w:r>
          </w:p>
        </w:tc>
        <w:tc>
          <w:tcPr>
            <w:tcW w:type="dxa" w:w="300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Rôle</w:t>
            </w:r>
          </w:p>
        </w:tc>
        <w:tc>
          <w:tcPr>
            <w:tcW w:type="dxa" w:w="486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Entrée → Sortie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1. Ingestion passive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Lecture OAuth des canaux, normalisation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Canaux externes → messages normalisés</w:t>
            </w:r>
          </w:p>
        </w:tc>
      </w:tr>
      <w:tr>
        <w:tc>
          <w:tcPr>
            <w:tcW w:type="dxa" w:w="15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2. Extraction</w:t>
            </w:r>
          </w:p>
        </w:tc>
        <w:tc>
          <w:tcPr>
            <w:tcW w:type="dxa" w:w="30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Le LLM extrait les engagements structurés</w:t>
            </w:r>
          </w:p>
        </w:tc>
        <w:tc>
          <w:tcPr>
            <w:tcW w:type="dxa" w:w="48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Messages → engagements + score de confiance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3. Graphe + horloge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Liens de dépendance + 5 détecteurs dans le temps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Engagements → détections datées</w:t>
            </w:r>
          </w:p>
        </w:tc>
      </w:tr>
      <w:tr>
        <w:tc>
          <w:tcPr>
            <w:tcW w:type="dxa" w:w="15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4. Livrables</w:t>
            </w:r>
          </w:p>
        </w:tc>
        <w:tc>
          <w:tcPr>
            <w:tcW w:type="dxa" w:w="30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Miroir, digest, alertes, brouillons</w:t>
            </w:r>
          </w:p>
        </w:tc>
        <w:tc>
          <w:tcPr>
            <w:tcW w:type="dxa" w:w="48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Détections → restitution au dirigeant</w:t>
            </w:r>
          </w:p>
        </w:tc>
      </w:tr>
    </w:tbl>
    <w:p>
      <w:pPr>
        <w:pStyle w:val="Heading3"/>
      </w:pPr>
      <w:r>
        <w:t xml:space="preserve">Règle de séparation des responsabilités</w:t>
      </w:r>
    </w:p>
    <w:p>
      <w:pPr>
        <w:spacing w:after="120" w:line="276"/>
      </w:pPr>
      <w:r>
        <w:t xml:space="preserve">Le backend (Go) porte l'ingestion, la normalisation, la persistance, l'orchestration des tâches et les livrables. Le service LLM (Python isolé) porte l'extraction, la génération de la capsule, la rédaction des brouillons et le scoring. La communication entre les deux passe par une API interne. Les détecteurs s'exécutent côté backend sur les données structurées : ils ne rappellent le LLM que pour les cas ambigus.</w:t>
      </w:r>
    </w:p>
    <w:p>
      <w:pPr>
        <w:pStyle w:val="Heading1"/>
      </w:pPr>
      <w:r>
        <w:t xml:space="preserve">5. Modèle de données (niveau logique)</w:t>
      </w:r>
    </w:p>
    <w:p>
      <w:pPr>
        <w:spacing w:after="120" w:line="276"/>
      </w:pPr>
      <w:r>
        <w:t xml:space="preserve">Les entités ci-dessous sont décrites par leurs attributs et leur type logique. Le schéma physique (SQL) est laissé à l'implémentation, mais doit respecter ces structures et relations.</w:t>
      </w:r>
    </w:p>
    <w:p>
      <w:pPr>
        <w:pStyle w:val="Heading2"/>
      </w:pPr>
      <w:r>
        <w:t xml:space="preserve">5.1 Entité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60"/>
      </w:tblGrid>
      <w:tr>
        <w:trPr>
          <w:tblHeader/>
        </w:trPr>
        <w:tc>
          <w:tcPr>
            <w:tcW w:type="dxa" w:w="210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Attribut</w:t>
            </w:r>
          </w:p>
        </w:tc>
        <w:tc>
          <w:tcPr>
            <w:tcW w:type="dxa" w:w="210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Type logique</w:t>
            </w:r>
          </w:p>
        </w:tc>
        <w:tc>
          <w:tcPr>
            <w:tcW w:type="dxa" w:w="516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Description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Identifiant unique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Clé de l'engagement</w:t>
            </w:r>
          </w:p>
        </w:tc>
      </w:tr>
      <w:tr>
        <w:tc>
          <w:tcPr>
            <w:tcW w:type="dxa" w:w="21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emetteur</w:t>
            </w:r>
          </w:p>
        </w:tc>
        <w:tc>
          <w:tcPr>
            <w:tcW w:type="dxa" w:w="21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Réf. Personne</w:t>
            </w:r>
          </w:p>
        </w:tc>
        <w:tc>
          <w:tcPr>
            <w:tcW w:type="dxa" w:w="51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Qui prend l'engagement (interne ou externe)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destinataire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Réf. Personne/Org.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Auprès de qui</w:t>
            </w:r>
          </w:p>
        </w:tc>
      </w:tr>
      <w:tr>
        <w:tc>
          <w:tcPr>
            <w:tcW w:type="dxa" w:w="21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objet</w:t>
            </w:r>
          </w:p>
        </w:tc>
        <w:tc>
          <w:tcPr>
            <w:tcW w:type="dxa" w:w="21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Texte normalisé</w:t>
            </w:r>
          </w:p>
        </w:tc>
        <w:tc>
          <w:tcPr>
            <w:tcW w:type="dxa" w:w="51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Ce qui est promis, reformulé par le LLM</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echeance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Date + flag explicite/inférée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Si inférée, déclenche une demande de confirmation</w:t>
            </w:r>
          </w:p>
        </w:tc>
      </w:tr>
      <w:tr>
        <w:tc>
          <w:tcPr>
            <w:tcW w:type="dxa" w:w="21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statut</w:t>
            </w:r>
          </w:p>
        </w:tc>
        <w:tc>
          <w:tcPr>
            <w:tcW w:type="dxa" w:w="21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Énumération</w:t>
            </w:r>
          </w:p>
        </w:tc>
        <w:tc>
          <w:tcPr>
            <w:tcW w:type="dxa" w:w="51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ouvert / confirmé / livré / en_retard / abandonné</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confiance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Décimal 0–1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Score d'extraction ; seuil de publication paramétrable</w:t>
            </w:r>
          </w:p>
        </w:tc>
      </w:tr>
      <w:tr>
        <w:tc>
          <w:tcPr>
            <w:tcW w:type="dxa" w:w="21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priorite</w:t>
            </w:r>
          </w:p>
        </w:tc>
        <w:tc>
          <w:tcPr>
            <w:tcW w:type="dxa" w:w="21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Énumération calculée</w:t>
            </w:r>
          </w:p>
        </w:tc>
        <w:tc>
          <w:tcPr>
            <w:tcW w:type="dxa" w:w="51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Dérivée de la capsule + corrections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source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Réf. Message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Lien vers la communication d'origine (traçabilité)</w:t>
            </w:r>
          </w:p>
        </w:tc>
      </w:tr>
      <w:tr>
        <w:tc>
          <w:tcPr>
            <w:tcW w:type="dxa" w:w="21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dependances</w:t>
            </w:r>
          </w:p>
        </w:tc>
        <w:tc>
          <w:tcPr>
            <w:tcW w:type="dxa" w:w="21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Liste de réf. Engagement</w:t>
            </w:r>
          </w:p>
        </w:tc>
        <w:tc>
          <w:tcPr>
            <w:tcW w:type="dxa" w:w="51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Engagements amont dont celui-ci dépend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cree_le / maj_le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Horodatages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Création et dernière mise à jour</w:t>
            </w:r>
          </w:p>
        </w:tc>
      </w:tr>
    </w:tbl>
    <w:p>
      <w:pPr>
        <w:pStyle w:val="Heading2"/>
      </w:pPr>
      <w:r>
        <w:t xml:space="preserve">5.2 Entité Événement d'engagement (historique)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26B00" w:sz="24"/>
              <w:bottom w:val="none"/>
              <w:right w:val="none"/>
            </w:tcBorders>
            <w:shd w:fill="EAF4F9" w:val="clear"/>
            <w:tcMar>
              <w:top w:type="dxa" w:w="120"/>
              <w:left w:type="dxa" w:w="200"/>
              <w:bottom w:type="dxa" w:w="120"/>
              <w:right w:type="dxa" w:w="160"/>
            </w:tcMar>
          </w:tcPr>
          <w:p>
            <w:pPr>
              <w:spacing w:after="60"/>
            </w:pPr>
            <w:r>
              <w:rPr>
                <w:b/>
                <w:bCs/>
                <w:color w:val="021533"/>
                <w:sz w:val="21"/>
                <w:szCs w:val="21"/>
              </w:rPr>
              <w:t xml:space="preserve">Ajout structurant par rapport à la V1</w:t>
            </w:r>
          </w:p>
          <w:p>
            <w:r>
              <w:rPr>
                <w:sz w:val="21"/>
                <w:szCs w:val="21"/>
              </w:rPr>
              <w:t xml:space="preserve">Le statut seul ne suffit pas : les détecteurs raisonnent sur le temps (silence depuis X, dernier signal, transition vers en_retard). Il faut donc un journal d'événements permettant de reconstruire l'état d'un engagement à tout instant. C'est aussi la source de l'audit trail.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Attribut</w:t>
            </w:r>
          </w:p>
        </w:tc>
        <w:tc>
          <w:tcPr>
            <w:tcW w:type="dxa" w:w="706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Description</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engagement_id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Engagement concerné</w:t>
            </w:r>
          </w:p>
        </w:tc>
      </w:tr>
      <w:tr>
        <w:tc>
          <w:tcPr>
            <w:tcW w:type="dxa" w:w="23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type</w:t>
            </w:r>
          </w:p>
        </w:tc>
        <w:tc>
          <w:tcPr>
            <w:tcW w:type="dxa" w:w="70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créé / confirmé / signal_de_progression / relancé / livré / passé_en_retard / abandonné / corrigé</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horodatage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Date et heure de l'événement</w:t>
            </w:r>
          </w:p>
        </w:tc>
      </w:tr>
      <w:tr>
        <w:tc>
          <w:tcPr>
            <w:tcW w:type="dxa" w:w="23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source_message_id</w:t>
            </w:r>
          </w:p>
        </w:tc>
        <w:tc>
          <w:tcPr>
            <w:tcW w:type="dxa" w:w="70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Message ayant déclenché l'événement (si applicable)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details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Données libres associées à l'événement (ex. ancienne/nouvelle échéance)</w:t>
            </w:r>
          </w:p>
        </w:tc>
      </w:tr>
    </w:tbl>
    <w:p>
      <w:pPr>
        <w:pStyle w:val="Heading2"/>
      </w:pPr>
      <w:r>
        <w:t xml:space="preserve">5.3 Entité Personne / Organisation</w:t>
      </w:r>
    </w:p>
    <w:p>
      <w:pPr>
        <w:spacing w:after="120" w:line="276"/>
      </w:pPr>
      <w:r>
        <w:t xml:space="preserve">Interlocuteurs internes et externes, déduits des communications : identité (nom, adresse email), type (interne / client / fournisseur / autre), et indicateur de sensibilité issu de la capsule (à surveiller particulièrement). Le rythme de réponse habituel par fil est rattaché à la relation, pas à la personne seule.</w:t>
      </w:r>
    </w:p>
    <w:p>
      <w:pPr>
        <w:pStyle w:val="Heading2"/>
      </w:pPr>
      <w:r>
        <w:t xml:space="preserve">5.4 Entité Capsule de contexte</w:t>
      </w:r>
    </w:p>
    <w:p>
      <w:pPr>
        <w:spacing w:after="120" w:line="276"/>
      </w:pPr>
      <w:r>
        <w:t xml:space="preserve">Une capsule par client. Contient : les faits inférés (secteur, clients récurrents, fournisseurs critiques, interlocuteurs clés, cycle type), les corrections apportées par le dirigeant, et les intentions déclarées (priorités du moment, dossiers à surveiller, pain point n°1). La capsule sert de prompt système personnalisé : elle conditionne extraction, scoring et priorisation.</w:t>
      </w:r>
    </w:p>
    <w:p>
      <w:pPr>
        <w:pStyle w:val="Heading2"/>
      </w:pPr>
      <w:r>
        <w:t xml:space="preserve">5.5 Entité Règle apprise</w:t>
      </w:r>
    </w:p>
    <w:p>
      <w:pPr>
        <w:spacing w:after="120" w:line="276"/>
      </w:pPr>
      <w:r>
        <w:t xml:space="preserve">Chaque correction du dirigeant est stockée comme règle explicite et lisible (pas de fine-tuning, pas de boîte noire) : portee (un engagement, un interlocuteur, un type d'objet), action (ignorer, priorité haute, ne plus alerter, requalifier), et date. Les règles sont appliquées à chaque cycle d'extraction et de détection.</w:t>
      </w:r>
    </w:p>
    <w:p>
      <w:pPr>
        <w:pStyle w:val="Heading2"/>
      </w:pPr>
      <w:r>
        <w:t xml:space="preserve">5.6 Entité Entrée d'audit</w:t>
      </w:r>
    </w:p>
    <w:p>
      <w:pPr>
        <w:spacing w:after="120" w:line="276"/>
      </w:pPr>
      <w:r>
        <w:t xml:space="preserve">Journal immuable : chaque lecture de canal, extraction, détection, alerte et action sortante est horodatée et tracée (déclencheur, contenu, validation éventuelle). Exigence RGPD et de confiance, pas une option.</w:t>
      </w:r>
    </w:p>
    <w:p>
      <w:pPr>
        <w:pStyle w:val="Heading1"/>
      </w:pPr>
      <w:r>
        <w:t xml:space="preserve">6. Couche 1 — Ingestion passive</w:t>
      </w:r>
    </w:p>
    <w:p>
      <w:pPr>
        <w:pStyle w:val="Heading2"/>
      </w:pPr>
      <w:r>
        <w:t xml:space="preserve">6.1 Principe et règle d'or d'adoption</w:t>
      </w:r>
    </w:p>
    <w:p>
      <w:pPr>
        <w:spacing w:after="120" w:line="276"/>
      </w:pPr>
      <w:r>
        <w:t xml:space="preserve">L'agent se connecte en OAuth aux canaux existants et lit. Il ne demande à personne de changer ses habitudes : aucune saisie, aucun nouvel outil à alimenter. Toute solution exigeant une discipline de saisie échoue dans ce segment.</w:t>
      </w:r>
    </w:p>
    <w:p>
      <w:pPr>
        <w:pStyle w:val="Heading2"/>
      </w:pPr>
      <w:r>
        <w:t xml:space="preserve">6.2 Interface de connecteur abstraite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26B00" w:sz="24"/>
              <w:bottom w:val="none"/>
              <w:right w:val="none"/>
            </w:tcBorders>
            <w:shd w:fill="EAF4F9" w:val="clear"/>
            <w:tcMar>
              <w:top w:type="dxa" w:w="120"/>
              <w:left w:type="dxa" w:w="200"/>
              <w:bottom w:type="dxa" w:w="120"/>
              <w:right w:type="dxa" w:w="160"/>
            </w:tcMar>
          </w:tcPr>
          <w:p>
            <w:pPr>
              <w:spacing w:after="60"/>
            </w:pPr>
            <w:r>
              <w:rPr>
                <w:b/>
                <w:bCs/>
                <w:color w:val="021533"/>
                <w:sz w:val="21"/>
                <w:szCs w:val="21"/>
              </w:rPr>
              <w:t xml:space="preserve">Exigence d'architecture — EF-10</w:t>
            </w:r>
          </w:p>
          <w:p>
            <w:r>
              <w:rPr>
                <w:sz w:val="21"/>
                <w:szCs w:val="21"/>
              </w:rPr>
              <w:t xml:space="preserve">Bien qu'un seul connecteur (Gmail OU Outlook) soit développé au MVP, il doit être implémenté derrière une interface de lecture de canal commune (lister les fils, lire les messages d'un fil, récupérer l'historique sur une fenêtre, envoyer un message sortant). Ainsi WhatsApp en fast-follow s'ajoute sans refonte. Coder en dur un seul fournisseur est un défaut bloquant.</w:t>
            </w:r>
          </w:p>
        </w:tc>
      </w:tr>
    </w:tbl>
    <w:p>
      <w:pPr>
        <w:pStyle w:val="Heading2"/>
      </w:pPr>
      <w:r>
        <w:t xml:space="preserve">6.3 Normalisation</w:t>
      </w:r>
    </w:p>
    <w:p>
      <w:pPr>
        <w:spacing w:after="120" w:line="276"/>
      </w:pPr>
      <w:r>
        <w:t xml:space="preserve">Tout message entrant, quel que soit le canal, est ramené à une forme commune : expéditeur, destinataires, fil de rattachement, horodatage, corps texte, pièces éventuelles. C'est cette forme normalisée — et elle seule — que voient les couches suivantes.</w:t>
      </w:r>
    </w:p>
    <w:p>
      <w:pPr>
        <w:pStyle w:val="Heading2"/>
      </w:pPr>
      <w:r>
        <w:t xml:space="preserve">6.4 Pré-filtrage avant LLM (EF-11)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21533" w:sz="24"/>
              <w:bottom w:val="none"/>
              <w:right w:val="none"/>
            </w:tcBorders>
            <w:shd w:fill="EAF4F9" w:val="clear"/>
            <w:tcMar>
              <w:top w:type="dxa" w:w="120"/>
              <w:left w:type="dxa" w:w="200"/>
              <w:bottom w:type="dxa" w:w="120"/>
              <w:right w:type="dxa" w:w="160"/>
            </w:tcMar>
          </w:tcPr>
          <w:p>
            <w:pPr>
              <w:spacing w:after="60"/>
            </w:pPr>
            <w:r>
              <w:rPr>
                <w:b/>
                <w:bCs/>
                <w:color w:val="021533"/>
                <w:sz w:val="21"/>
                <w:szCs w:val="21"/>
              </w:rPr>
              <w:t xml:space="preserve">Brique critique pour l'économie unitaire</w:t>
            </w:r>
          </w:p>
          <w:p>
            <w:r>
              <w:rPr>
                <w:sz w:val="21"/>
                <w:szCs w:val="21"/>
              </w:rPr>
              <w:t xml:space="preserve">Le coût variable dominant est l'inférence LLM. Avant tout appel au modèle, un filtre par règles écarte les messages sans valeur opérationnelle. Sans ce filtre, le volume analysé explose et la marge du plan d'entrée (99 €) s'effondre. Le filtre n'utilise jamais le LLM : ce serait absurde d'appeler le modèle pour décider d'appeler le modèle.</w:t>
            </w:r>
          </w:p>
        </w:tc>
      </w:tr>
    </w:tbl>
    <w:p>
      <w:pPr>
        <w:spacing w:after="120" w:line="276"/>
      </w:pPr>
      <w:r>
        <w:t xml:space="preserve">Règles d'exclusion avant inférence :</w:t>
      </w:r>
    </w:p>
    <w:p>
      <w:pPr>
        <w:pStyle w:val="ListParagraph"/>
        <w:numPr>
          <w:ilvl w:val="0"/>
          <w:numId w:val="3"/>
        </w:numPr>
        <w:spacing w:after="50" w:line="270"/>
      </w:pPr>
      <w:r>
        <w:t xml:space="preserve">Expéditeur de type no-reply ou automatique.</w:t>
      </w:r>
    </w:p>
    <w:p>
      <w:pPr>
        <w:pStyle w:val="ListParagraph"/>
        <w:numPr>
          <w:ilvl w:val="0"/>
          <w:numId w:val="3"/>
        </w:numPr>
        <w:spacing w:after="50" w:line="270"/>
      </w:pPr>
      <w:r>
        <w:t xml:space="preserve">Présence d'un en-tête de désinscription (newsletters).</w:t>
      </w:r>
    </w:p>
    <w:p>
      <w:pPr>
        <w:pStyle w:val="ListParagraph"/>
        <w:numPr>
          <w:ilvl w:val="0"/>
          <w:numId w:val="3"/>
        </w:numPr>
        <w:spacing w:after="50" w:line="270"/>
      </w:pPr>
      <w:r>
        <w:t xml:space="preserve">Expéditeurs et domaines en liste d'exclusion (notifications de services tiers).</w:t>
      </w:r>
    </w:p>
    <w:p>
      <w:pPr>
        <w:pStyle w:val="ListParagraph"/>
        <w:numPr>
          <w:ilvl w:val="0"/>
          <w:numId w:val="3"/>
        </w:numPr>
        <w:spacing w:after="50" w:line="270"/>
      </w:pPr>
      <w:r>
        <w:t xml:space="preserve">Fils explicitement exclus par le dirigeant (règle apprise).</w:t>
      </w:r>
    </w:p>
    <w:p>
      <w:pPr>
        <w:pStyle w:val="ListParagraph"/>
        <w:numPr>
          <w:ilvl w:val="0"/>
          <w:numId w:val="3"/>
        </w:numPr>
        <w:spacing w:after="50" w:line="270"/>
      </w:pPr>
      <w:r>
        <w:t xml:space="preserve">Messages déjà analysés et inchangés (dédoublonnage).</w:t>
      </w:r>
    </w:p>
    <w:p>
      <w:pPr>
        <w:spacing w:after="120" w:line="276"/>
      </w:pPr>
      <w:r>
        <w:t xml:space="preserve">Tout message non exclu passe à la couche d'extraction. Le taux d'exclusion observé est un indicateur de santé économique à suivre.</w:t>
      </w:r>
    </w:p>
    <w:p>
      <w:pPr>
        <w:pStyle w:val="Heading1"/>
      </w:pPr>
      <w:r>
        <w:t xml:space="preserve">7. Couche 2 — Extraction d'engagements</w:t>
      </w:r>
    </w:p>
    <w:p>
      <w:pPr>
        <w:pStyle w:val="Heading2"/>
      </w:pPr>
      <w:r>
        <w:t xml:space="preserve">7.1 Définition de l'extraction</w:t>
      </w:r>
    </w:p>
    <w:p>
      <w:pPr>
        <w:spacing w:after="120" w:line="276"/>
      </w:pPr>
      <w:r>
        <w:t xml:space="preserve">Le LLM analyse chaque message retenu et en extrait zéro, un ou plusieurs engagements selon la structure de l'entité Engagement (5.1). « Je vous pose le carrelage mardi » et « le rapport d'audit sera livré le 15 » produisent la même structure. Aucune connaissance sectorielle n'est codée : c'est du langage naturel pur, conditionné par la capsule du client.</w:t>
      </w:r>
    </w:p>
    <w:p>
      <w:pPr>
        <w:pStyle w:val="Heading2"/>
      </w:pPr>
      <w:r>
        <w:t xml:space="preserve">7.2 Score de confiance et seuil</w:t>
      </w:r>
    </w:p>
    <w:p>
      <w:pPr>
        <w:spacing w:after="120" w:line="276"/>
      </w:pPr>
      <w:r>
        <w:t xml:space="preserve">Chaque extraction porte un score de confiance entre 0 et 1. Les extractions sous le seuil de publication ne sont jamais présentées proactivement au dirigeant, mais restent consultables dans l'interface. Le seuil est paramétrable et constitue le premier rempart anti-churn.</w:t>
      </w:r>
    </w:p>
    <w:p>
      <w:pPr>
        <w:pStyle w:val="Heading2"/>
      </w:pPr>
      <w:r>
        <w:t xml:space="preserve">7.3 Échéances inférées</w:t>
      </w:r>
    </w:p>
    <w:p>
      <w:pPr>
        <w:spacing w:after="120" w:line="276"/>
      </w:pPr>
      <w:r>
        <w:t xml:space="preserve">Lorsque l'échéance n'est pas explicite dans le message, le LLM peut l'inférer, mais elle est alors marquée comme telle. Une échéance inférée est systématiquement signalée comme à confirmer et n'alimente les détecteurs qu'après confirmation du dirigeant.</w:t>
      </w:r>
    </w:p>
    <w:p>
      <w:pPr>
        <w:pStyle w:val="Heading1"/>
      </w:pPr>
      <w:r>
        <w:t xml:space="preserve">8. Couche 3 — Graphe de dépendances et 5 détecteurs</w:t>
      </w:r>
    </w:p>
    <w:p>
      <w:pPr>
        <w:pStyle w:val="Heading2"/>
      </w:pPr>
      <w:r>
        <w:t xml:space="preserve">8.1 Graphe de dépendances (approche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21533" w:sz="24"/>
              <w:bottom w:val="none"/>
              <w:right w:val="none"/>
            </w:tcBorders>
            <w:shd w:fill="EAF4F9" w:val="clear"/>
            <w:tcMar>
              <w:top w:type="dxa" w:w="120"/>
              <w:left w:type="dxa" w:w="200"/>
              <w:bottom w:type="dxa" w:w="120"/>
              <w:right w:type="dxa" w:w="160"/>
            </w:tcMar>
          </w:tcPr>
          <w:p>
            <w:pPr>
              <w:spacing w:after="60"/>
            </w:pPr>
            <w:r>
              <w:rPr>
                <w:b/>
                <w:bCs/>
                <w:color w:val="021533"/>
                <w:sz w:val="21"/>
                <w:szCs w:val="21"/>
              </w:rPr>
              <w:t xml:space="preserve">Décision technique — ne pas laisser le LLM seul décider des liens</w:t>
            </w:r>
          </w:p>
          <w:p>
            <w:r>
              <w:rPr>
                <w:sz w:val="21"/>
                <w:szCs w:val="21"/>
              </w:rPr>
              <w:t xml:space="preserve">Relier une promesse aval à un retard amont est le détecteur à plus forte valeur, mais aussi le plus risqué en faux positifs. Au MVP, les liens candidats sont proposés par heuristique (même interlocuteur ou même dossier, proximité temporelle, objets liés) puis validés : soit par le LLM en assistance, soit par confirmation du dirigeant. Le LLM n'est jamais l'autorité finale sur un lien de dépendance.</w:t>
            </w:r>
          </w:p>
        </w:tc>
      </w:tr>
    </w:tbl>
    <w:p>
      <w:pPr>
        <w:spacing w:after="120" w:line="276"/>
      </w:pPr>
      <w:r>
        <w:t xml:space="preserve">Le graphe relie les engagements entre eux (quelle promesse aval dépend de quelle promesse amont). Il est la matière du détecteur de contradiction. Un lien porte un statut (candidat / confirmé / rejeté) qui conditionne son usage par les détecteurs.</w:t>
      </w:r>
    </w:p>
    <w:p>
      <w:pPr>
        <w:pStyle w:val="Heading2"/>
      </w:pPr>
      <w:r>
        <w:t xml:space="preserve">8.2 Les 5 détecteurs permanents</w:t>
      </w:r>
    </w:p>
    <w:p>
      <w:pPr>
        <w:spacing w:after="120" w:line="276"/>
      </w:pPr>
      <w:r>
        <w:t xml:space="preserve">Chaque détecteur est spécifié par sa logique, ses entrées, sa règle de déclenchement et sa sortie. Tous s'exécutent à chaque cycle sur les données structurées et produisent des détections datées portées au digest si elles dépassent le seuil.</w:t>
      </w:r>
    </w:p>
    <w:p>
      <w:pPr>
        <w:pStyle w:val="Heading3"/>
      </w:pPr>
      <w:r>
        <w:t xml:space="preserve">Détecteur 1 — Échéance à risque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Élément</w:t>
            </w:r>
          </w:p>
        </w:tc>
        <w:tc>
          <w:tcPr>
            <w:tcW w:type="dxa" w:w="716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Spécification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Logique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Engagement dont l'échéance approche sans signal de progression récent</w:t>
            </w:r>
          </w:p>
        </w:tc>
      </w:tr>
      <w:tr>
        <w:tc>
          <w:tcPr>
            <w:tcW w:type="dxa" w:w="22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Entrées</w:t>
            </w:r>
          </w:p>
        </w:tc>
        <w:tc>
          <w:tcPr>
            <w:tcW w:type="dxa" w:w="71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Échéance, dernier événement de progression, horizon X issu de la capsule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Déclenchement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Échéance à moins de X jours ET aucun signal de progression dans la fenêtre récente</w:t>
            </w:r>
          </w:p>
        </w:tc>
      </w:tr>
      <w:tr>
        <w:tc>
          <w:tcPr>
            <w:tcW w:type="dxa" w:w="22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Paramètre</w:t>
            </w:r>
          </w:p>
        </w:tc>
        <w:tc>
          <w:tcPr>
            <w:tcW w:type="dxa" w:w="71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X calibré par la capsule (un chantier ≠ une livraison express)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Sortie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Détection « échéance à risque » avec engagement et jours restants</w:t>
            </w:r>
          </w:p>
        </w:tc>
      </w:tr>
    </w:tbl>
    <w:p>
      <w:pPr>
        <w:pStyle w:val="Heading3"/>
      </w:pPr>
      <w:r>
        <w:t xml:space="preserve">Détecteur 2 — Silence anormal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Élément</w:t>
            </w:r>
          </w:p>
        </w:tc>
        <w:tc>
          <w:tcPr>
            <w:tcW w:type="dxa" w:w="716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Spécification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Logique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Fil actif avec engagement ouvert, sans réponse depuis plus longtemps que son rythme habituel</w:t>
            </w:r>
          </w:p>
        </w:tc>
      </w:tr>
      <w:tr>
        <w:tc>
          <w:tcPr>
            <w:tcW w:type="dxa" w:w="22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Entrées</w:t>
            </w:r>
          </w:p>
        </w:tc>
        <w:tc>
          <w:tcPr>
            <w:tcW w:type="dxa" w:w="71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Date du dernier message du fil, rythme de réponse appris pour ce fil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Cold-start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Tant que le rythme n'est pas appris, seuil par défaut dérivé du secteur (capsule)</w:t>
            </w:r>
          </w:p>
        </w:tc>
      </w:tr>
      <w:tr>
        <w:tc>
          <w:tcPr>
            <w:tcW w:type="dxa" w:w="22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Déclenchement</w:t>
            </w:r>
          </w:p>
        </w:tc>
        <w:tc>
          <w:tcPr>
            <w:tcW w:type="dxa" w:w="71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Délai depuis le dernier message &gt; seuil appris du fil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Anti-faux-positif</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Seuil appris par fil et non global — évite de confondre un fil lent normal et un blocage</w:t>
            </w:r>
          </w:p>
        </w:tc>
      </w:tr>
      <w:tr>
        <w:tc>
          <w:tcPr>
            <w:tcW w:type="dxa" w:w="22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Sortie</w:t>
            </w:r>
          </w:p>
        </w:tc>
        <w:tc>
          <w:tcPr>
            <w:tcW w:type="dxa" w:w="71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Détection « silence anormal » avec fil, interlocuteur et durée du silence</w:t>
            </w:r>
          </w:p>
        </w:tc>
      </w:tr>
    </w:tbl>
    <w:p>
      <w:pPr>
        <w:pStyle w:val="Heading3"/>
      </w:pPr>
      <w:r>
        <w:t xml:space="preserve">Détecteur 3 — Contradiction d'engagements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Élément</w:t>
            </w:r>
          </w:p>
        </w:tc>
        <w:tc>
          <w:tcPr>
            <w:tcW w:type="dxa" w:w="716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Spécification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Logique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Une promesse aval devient intenable à cause d'un retard amont</w:t>
            </w:r>
          </w:p>
        </w:tc>
      </w:tr>
      <w:tr>
        <w:tc>
          <w:tcPr>
            <w:tcW w:type="dxa" w:w="22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Entrées</w:t>
            </w:r>
          </w:p>
        </w:tc>
        <w:tc>
          <w:tcPr>
            <w:tcW w:type="dxa" w:w="71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Liens de dépendance confirmés (8.1), statut et échéance des engagements liés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Déclenchement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Un engagement amont est en retard ou silencieux ET un engagement aval qui en dépend a une échéance proche</w:t>
            </w:r>
          </w:p>
        </w:tc>
      </w:tr>
      <w:tr>
        <w:tc>
          <w:tcPr>
            <w:tcW w:type="dxa" w:w="22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Prérequis</w:t>
            </w:r>
          </w:p>
        </w:tc>
        <w:tc>
          <w:tcPr>
            <w:tcW w:type="dxa" w:w="71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Lien de dépendance au statut confirmé — jamais sur un lien seulement candidat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Sortie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Détection « contradiction » croisée amont/aval (détecteur à plus forte valeur)</w:t>
            </w:r>
          </w:p>
        </w:tc>
      </w:tr>
    </w:tbl>
    <w:p>
      <w:pPr>
        <w:pStyle w:val="Heading3"/>
      </w:pPr>
      <w:r>
        <w:t xml:space="preserve">Détecteur 4 — Engagement orphelin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Élément</w:t>
            </w:r>
          </w:p>
        </w:tc>
        <w:tc>
          <w:tcPr>
            <w:tcW w:type="dxa" w:w="716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Spécification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Logique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Promesse détectée mais jamais suivie d'aucun signal : ni confirmation, ni livraison, ni relance</w:t>
            </w:r>
          </w:p>
        </w:tc>
      </w:tr>
      <w:tr>
        <w:tc>
          <w:tcPr>
            <w:tcW w:type="dxa" w:w="22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Entrées</w:t>
            </w:r>
          </w:p>
        </w:tc>
        <w:tc>
          <w:tcPr>
            <w:tcW w:type="dxa" w:w="71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Engagement et son journal d'événements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Déclenchement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Aucun événement postérieur à la création au-delà d'un délai</w:t>
            </w:r>
          </w:p>
        </w:tc>
      </w:tr>
      <w:tr>
        <w:tc>
          <w:tcPr>
            <w:tcW w:type="dxa" w:w="22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Sortie</w:t>
            </w:r>
          </w:p>
        </w:tc>
        <w:tc>
          <w:tcPr>
            <w:tcW w:type="dxa" w:w="71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Détection « orphelin » — récupération des oublis (le trou noir des PME)</w:t>
            </w:r>
          </w:p>
        </w:tc>
      </w:tr>
    </w:tbl>
    <w:p>
      <w:pPr>
        <w:pStyle w:val="Heading3"/>
      </w:pPr>
      <w:r>
        <w:t xml:space="preserve">Détecteur 5 — Surcharge ponctuelle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Élément</w:t>
            </w:r>
          </w:p>
        </w:tc>
        <w:tc>
          <w:tcPr>
            <w:tcW w:type="dxa" w:w="716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Spécification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Logique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Concentration anormale d'échéances sur une même personne ou une même semaine</w:t>
            </w:r>
          </w:p>
        </w:tc>
      </w:tr>
      <w:tr>
        <w:tc>
          <w:tcPr>
            <w:tcW w:type="dxa" w:w="22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Entrées</w:t>
            </w:r>
          </w:p>
        </w:tc>
        <w:tc>
          <w:tcPr>
            <w:tcW w:type="dxa" w:w="71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Échéances des engagements ouverts, regroupées par responsable et par période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Déclenchement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Nombre d'échéances sur un même responsable/semaine au-delà d'un seuil</w:t>
            </w:r>
          </w:p>
        </w:tc>
      </w:tr>
      <w:tr>
        <w:tc>
          <w:tcPr>
            <w:tcW w:type="dxa" w:w="22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Sortie</w:t>
            </w:r>
          </w:p>
        </w:tc>
        <w:tc>
          <w:tcPr>
            <w:tcW w:type="dxa" w:w="71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Détection « surcharge » — alerte en amont, lissage de charge, prévention RH</w:t>
            </w:r>
          </w:p>
        </w:tc>
      </w:tr>
    </w:tbl>
    <w:p>
      <w:pPr>
        <w:pStyle w:val="Heading1"/>
      </w:pPr>
      <w:r>
        <w:t xml:space="preserve">9. Couche 4 — Livrables</w:t>
      </w:r>
    </w:p>
    <w:p>
      <w:pPr>
        <w:pStyle w:val="Heading2"/>
      </w:pPr>
      <w:r>
        <w:t xml:space="preserve">9.1 Le Miroir d'activité (livrable J+1) — EF-2</w:t>
      </w:r>
    </w:p>
    <w:p>
      <w:pPr>
        <w:spacing w:after="120" w:line="276"/>
      </w:pPr>
      <w:r>
        <w:t xml:space="preserve">À l'activation, l'agent lit l'historique des 30 derniers jours et génère un premier rapport : engagements en cours identifiés, en retard probable, fils sans réponse. Triple fonction : valeur immédiate, support de validation (chaque correction calibre l'agent), effet de démonstration pour le bouche-à-oreille.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21533" w:sz="24"/>
              <w:bottom w:val="none"/>
              <w:right w:val="none"/>
            </w:tcBorders>
            <w:shd w:fill="EAF4F9" w:val="clear"/>
            <w:tcMar>
              <w:top w:type="dxa" w:w="120"/>
              <w:left w:type="dxa" w:w="200"/>
              <w:bottom w:type="dxa" w:w="120"/>
              <w:right w:type="dxa" w:w="160"/>
            </w:tcMar>
          </w:tcPr>
          <w:p>
            <w:pPr>
              <w:spacing w:after="60"/>
            </w:pPr>
            <w:r>
              <w:rPr>
                <w:b/>
                <w:bCs/>
                <w:color w:val="021533"/>
                <w:sz w:val="21"/>
                <w:szCs w:val="21"/>
              </w:rPr>
              <w:t xml:space="preserve">Séquencement psychologique critique</w:t>
            </w:r>
          </w:p>
          <w:p>
            <w:r>
              <w:rPr>
                <w:sz w:val="21"/>
                <w:szCs w:val="21"/>
              </w:rPr>
              <w:t xml:space="preserve">Le Miroir est généré AVANT les questions de setup, jamais après. Le dirigeant reçoit d'abord la preuve de valeur, puis on lui demande 5 minutes. L'ordre inverse tue le taux d'activation.</w:t>
            </w:r>
          </w:p>
        </w:tc>
      </w:tr>
    </w:tbl>
    <w:p>
      <w:pPr>
        <w:pStyle w:val="Heading2"/>
      </w:pPr>
      <w:r>
        <w:t xml:space="preserve">9.2 La capsule de contexte hybride — EF-3</w:t>
      </w:r>
    </w:p>
    <w:p>
      <w:pPr>
        <w:pStyle w:val="Heading3"/>
      </w:pPr>
      <w:r>
        <w:t xml:space="preserve">Temps 1 — l'agent infère, le dirigeant corrige</w:t>
      </w:r>
    </w:p>
    <w:p>
      <w:pPr>
        <w:spacing w:after="120" w:line="276"/>
      </w:pPr>
      <w:r>
        <w:t xml:space="preserve">À partir des 30 jours d'historique, l'agent génère lui-même la description de l'activité. Le dirigeant corrige en 2 minutes ce qu'il aurait mis 20 minutes à rédiger — complétion attendue ≈ 95 %. La capsule est toujours présentée comme « ce que je comprends », jamais comme une vérité : le ton d'humilité est inscrit dans le prompt.</w:t>
      </w:r>
    </w:p>
    <w:p>
      <w:pPr>
        <w:pStyle w:val="Heading3"/>
      </w:pPr>
      <w:r>
        <w:t xml:space="preserve">Temps 2 — trois questions d'intention</w:t>
      </w:r>
    </w:p>
    <w:p>
      <w:pPr>
        <w:spacing w:after="120" w:line="276"/>
      </w:pPr>
      <w:r>
        <w:t xml:space="preserve">L'agent infère les faits mais pas les intentions, or c'est l'intention qui détermine la priorisation. Trois questions ouvertes en langage conversationnel :</w:t>
      </w:r>
    </w:p>
    <w:p>
      <w:pPr>
        <w:pStyle w:val="ListParagraph"/>
        <w:numPr>
          <w:ilvl w:val="0"/>
          <w:numId w:val="2"/>
        </w:numPr>
        <w:spacing w:after="60" w:line="276"/>
      </w:pPr>
      <w:r>
        <w:t xml:space="preserve">« Quelles sont vos 2-3 priorités ou inquiétudes du moment ? » — pondère le scoring des alertes.</w:t>
      </w:r>
    </w:p>
    <w:p>
      <w:pPr>
        <w:pStyle w:val="ListParagraph"/>
        <w:numPr>
          <w:ilvl w:val="0"/>
          <w:numId w:val="2"/>
        </w:numPr>
        <w:spacing w:after="60" w:line="276"/>
      </w:pPr>
      <w:r>
        <w:t xml:space="preserve">« Y a-t-il des clients, dossiers ou personnes à surveiller particulièrement ? » — capte les sensibilités invisibles dans l'historique.</w:t>
      </w:r>
    </w:p>
    <w:p>
      <w:pPr>
        <w:pStyle w:val="ListParagraph"/>
        <w:numPr>
          <w:ilvl w:val="0"/>
          <w:numId w:val="2"/>
        </w:numPr>
        <w:spacing w:after="60" w:line="276"/>
      </w:pPr>
      <w:r>
        <w:t xml:space="preserve">« Qu'est-ce qui vous coûte le plus de temps ou d'énergie aujourd'hui ? » — oriente les premières recommandations.</w:t>
      </w:r>
    </w:p>
    <w:p>
      <w:pPr>
        <w:pStyle w:val="Heading2"/>
      </w:pPr>
      <w:r>
        <w:t xml:space="preserve">9.3 Le digest — EF-6</w:t>
      </w:r>
    </w:p>
    <w:p>
      <w:pPr>
        <w:spacing w:after="120" w:line="276"/>
      </w:pPr>
      <w:r>
        <w:t xml:space="preserve">Quotidien ou hebdomadaire au choix du dirigeant. Contient : les engagements ouverts triés par risque, les alertes du jour, les suggestions d'action. Seules les détections au-dessus du seuil y figurent (règle anti-churn). Chaque élément est corrigeable d'un geste.</w:t>
      </w:r>
    </w:p>
    <w:p>
      <w:pPr>
        <w:pStyle w:val="Heading2"/>
      </w:pPr>
      <w:r>
        <w:t xml:space="preserve">9.4 Alertes temps réel</w:t>
      </w:r>
    </w:p>
    <w:p>
      <w:pPr>
        <w:spacing w:after="120" w:line="276"/>
      </w:pPr>
      <w:r>
        <w:t xml:space="preserve">Pour les détections critiques uniquement (contradiction d'engagements, échéance imminente non confirmée), une alerte ponctuelle est émise hors cycle de digest.</w:t>
      </w:r>
    </w:p>
    <w:p>
      <w:pPr>
        <w:pStyle w:val="Heading2"/>
      </w:pPr>
      <w:r>
        <w:t xml:space="preserve">9.5 Brouillons d'action — EF-7</w:t>
      </w:r>
    </w:p>
    <w:p>
      <w:pPr>
        <w:spacing w:after="120" w:line="276"/>
      </w:pPr>
      <w:r>
        <w:t xml:space="preserve">Pour une détection actionnable, l'agent pré-rédige le message (relance fournisseur, demande de confirmation client, suivi). Le dirigeant valide d'un clic ; l'agent envoie alors via le connecteur et trace l'action. Aucun message ne part sans validation explicite au MVP.</w:t>
      </w:r>
    </w:p>
    <w:p>
      <w:pPr>
        <w:pStyle w:val="Heading2"/>
      </w:pPr>
      <w:r>
        <w:t xml:space="preserve">9.6 Recommandations croisées</w:t>
      </w:r>
    </w:p>
    <w:p>
      <w:pPr>
        <w:spacing w:after="120" w:line="276"/>
      </w:pPr>
      <w:r>
        <w:t xml:space="preserve">Une fois l'agent calibré, la recommandation dépasse le constat : non pas « le fournisseur X est silencieux », mais « le fournisseur X est silencieux depuis 8 jours ET vous avez promis une livraison au client Y le 15 — je suggère de le relancer aujourd'hui, voici le message ». Elle naît du croisement détection amont / engagement aval, pondéré par les priorités de la capsule.</w:t>
      </w:r>
    </w:p>
    <w:p>
      <w:pPr>
        <w:pStyle w:val="Heading1"/>
      </w:pPr>
      <w:r>
        <w:t xml:space="preserve">10. Escalier d'agentivité</w:t>
      </w:r>
    </w:p>
    <w:p>
      <w:pPr>
        <w:spacing w:after="120" w:line="276"/>
      </w:pPr>
      <w:r>
        <w:t xml:space="preserve">Le niveau d'initiative est gradué en quatre marches. Le dirigeant contrôle le niveau autorisé par type d'action. Le MVP va jusqu'à la marche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60"/>
        <w:gridCol w:w="4100"/>
      </w:tblGrid>
      <w:tr>
        <w:trPr>
          <w:tblHeader/>
        </w:trPr>
        <w:tc>
          <w:tcPr>
            <w:tcW w:type="dxa" w:w="170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Marche</w:t>
            </w:r>
          </w:p>
        </w:tc>
        <w:tc>
          <w:tcPr>
            <w:tcW w:type="dxa" w:w="356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Comportement</w:t>
            </w:r>
          </w:p>
        </w:tc>
        <w:tc>
          <w:tcPr>
            <w:tcW w:type="dxa" w:w="410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Disponibilité</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1. Observer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Constate et restitue</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MVP — J+1</w:t>
            </w:r>
          </w:p>
        </w:tc>
      </w:tr>
      <w:tr>
        <w:tc>
          <w:tcPr>
            <w:tcW w:type="dxa" w:w="17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2. Suggérer</w:t>
            </w:r>
          </w:p>
        </w:tc>
        <w:tc>
          <w:tcPr>
            <w:tcW w:type="dxa" w:w="35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Propose une action pré-rédigée</w:t>
            </w:r>
          </w:p>
        </w:tc>
        <w:tc>
          <w:tcPr>
            <w:tcW w:type="dxa" w:w="41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MVP — semaine 1</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3. Agir sur validation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Exécute après un clic du dirigeant</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MVP — semaine 2+</w:t>
            </w:r>
          </w:p>
        </w:tc>
      </w:tr>
      <w:tr>
        <w:tc>
          <w:tcPr>
            <w:tcW w:type="dxa" w:w="17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4. Agir en autonomie</w:t>
            </w:r>
          </w:p>
        </w:tc>
        <w:tc>
          <w:tcPr>
            <w:tcW w:type="dxa" w:w="35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Exécute seul dans un périmètre activé</w:t>
            </w:r>
          </w:p>
        </w:tc>
        <w:tc>
          <w:tcPr>
            <w:tcW w:type="dxa" w:w="41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Phase 2 — jamais par défaut</w:t>
            </w:r>
          </w:p>
        </w:tc>
      </w:tr>
    </w:tbl>
    <w:p>
      <w:pPr>
        <w:spacing w:after="120" w:line="276"/>
      </w:pPr>
      <w:r>
        <w:t xml:space="preserve">Toute action exécutée (marche 3 et au-delà) est tracée dans l'audit trail : horodatage, déclencheur, contenu, validation. Exigence RGPD, argument commercial de confiance et garde-fou technique à la fois.</w:t>
      </w:r>
    </w:p>
    <w:p>
      <w:pPr>
        <w:pStyle w:val="Heading1"/>
      </w:pPr>
      <w:r>
        <w:t xml:space="preserve">11. Boucle d'apprentissage et règle anti-churn</w:t>
      </w:r>
    </w:p>
    <w:p>
      <w:pPr>
        <w:spacing w:after="120" w:line="276"/>
      </w:pPr>
      <w:r>
        <w:t xml:space="preserve">Chaque élément du digest est corrigeable d'un geste : « ce n'est pas un engagement », « ce client n'est plus actif », « priorité haute », « ne me parle plus de ça ». Chaque correction devient une règle explicite (5.5). Au bout de 2 à 3 semaines, l'agent est calibré sur la réalité de cette PME.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21533" w:sz="24"/>
              <w:bottom w:val="none"/>
              <w:right w:val="none"/>
            </w:tcBorders>
            <w:shd w:fill="EAF4F9" w:val="clear"/>
            <w:tcMar>
              <w:top w:type="dxa" w:w="120"/>
              <w:left w:type="dxa" w:w="200"/>
              <w:bottom w:type="dxa" w:w="120"/>
              <w:right w:type="dxa" w:w="160"/>
            </w:tcMar>
          </w:tcPr>
          <w:p>
            <w:pPr>
              <w:spacing w:after="60"/>
            </w:pPr>
            <w:r>
              <w:rPr>
                <w:b/>
                <w:bCs/>
                <w:color w:val="021533"/>
                <w:sz w:val="21"/>
                <w:szCs w:val="21"/>
              </w:rPr>
              <w:t xml:space="preserve">Règle d'or anti-churn : un faux positif coûte dix fois un vrai positif</w:t>
            </w:r>
          </w:p>
          <w:p>
            <w:r>
              <w:rPr>
                <w:sz w:val="21"/>
                <w:szCs w:val="21"/>
              </w:rPr>
              <w:t xml:space="preserve">Un dirigeant qui reçoit deux alertes injustifiées cesse de lire les digests, et le module est mort. Conséquence d'architecture transverse : chaque détection porte un score de confiance, et seules les détections au-dessus du seuil entrent en communication proactive. Les autres restent consultables sans jamais polluer le digest.</w:t>
            </w:r>
          </w:p>
        </w:tc>
      </w:tr>
    </w:tbl>
    <w:p>
      <w:pPr>
        <w:pStyle w:val="Heading1"/>
      </w:pPr>
      <w:r>
        <w:t xml:space="preserve">12. Parcours utilisateur — la première semaine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5460"/>
      </w:tblGrid>
      <w:tr>
        <w:trPr>
          <w:tblHeader/>
        </w:trPr>
        <w:tc>
          <w:tcPr>
            <w:tcW w:type="dxa" w:w="130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Jour</w:t>
            </w:r>
          </w:p>
        </w:tc>
        <w:tc>
          <w:tcPr>
            <w:tcW w:type="dxa" w:w="260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Événement</w:t>
            </w:r>
          </w:p>
        </w:tc>
        <w:tc>
          <w:tcPr>
            <w:tcW w:type="dxa" w:w="546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Détail</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J+0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Activation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Connexion OAuth du canal (+ Sheets optionnel). Aucune autre action</w:t>
            </w:r>
          </w:p>
        </w:tc>
      </w:tr>
      <w:tr>
        <w:tc>
          <w:tcPr>
            <w:tcW w:type="dxa" w:w="13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J+1</w:t>
            </w:r>
          </w:p>
        </w:tc>
        <w:tc>
          <w:tcPr>
            <w:tcW w:type="dxa" w:w="26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Miroir d'activité</w:t>
            </w:r>
          </w:p>
        </w:tc>
        <w:tc>
          <w:tcPr>
            <w:tcW w:type="dxa" w:w="54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30 jours lus, premier rapport livré ; capsule temps 1 à corriger (2 min)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J+2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Intentions + 1er digest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3 questions ouvertes (capsule temps 2) ; premier digest trié par risque</w:t>
            </w:r>
          </w:p>
        </w:tc>
      </w:tr>
      <w:tr>
        <w:tc>
          <w:tcPr>
            <w:tcW w:type="dxa" w:w="13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J+3 à J+6</w:t>
            </w:r>
          </w:p>
        </w:tc>
        <w:tc>
          <w:tcPr>
            <w:tcW w:type="dxa" w:w="26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Calibration</w:t>
            </w:r>
          </w:p>
        </w:tc>
        <w:tc>
          <w:tcPr>
            <w:tcW w:type="dxa" w:w="54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5 à 10 corrections d'un geste, chacune devient une règle ; pertinence en hausse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J+7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Bascule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Premier digest hebdo consolidé + suggestions de relance pré-rédigées</w:t>
            </w:r>
          </w:p>
        </w:tc>
      </w:tr>
    </w:tbl>
    <w:p>
      <w:pPr>
        <w:spacing w:after="120" w:line="276"/>
      </w:pPr>
      <w:r>
        <w:t xml:space="preserve">KPI d'activation : le dirigeant a-t-il ouvert ses 5 premiers digests ? C'est le signal de rétention le plus fiable. Sinon, déclencher une séquence de réactivation (appel pour les clients agence, email pour le self-serve).</w:t>
      </w:r>
    </w:p>
    <w:p>
      <w:pPr>
        <w:pStyle w:val="Heading1"/>
      </w:pPr>
      <w:r>
        <w:t xml:space="preserve">13. Exigences non fonctionnelles et garde-fous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Catégorie</w:t>
            </w:r>
          </w:p>
        </w:tc>
        <w:tc>
          <w:tcPr>
            <w:tcW w:type="dxa" w:w="706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Exigence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Souveraineté</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Hébergement en UE exclusivement dès le jour 1 — non négociable</w:t>
            </w:r>
          </w:p>
        </w:tc>
      </w:tr>
      <w:tr>
        <w:tc>
          <w:tcPr>
            <w:tcW w:type="dxa" w:w="23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Confidentialité</w:t>
            </w:r>
          </w:p>
        </w:tc>
        <w:tc>
          <w:tcPr>
            <w:tcW w:type="dxa" w:w="70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Aucune donnée client utilisée pour l'entraînement de modèles tiers — clause contractuelle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RGPD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Droit à l'oubli complet (y compris règles apprises), audit trail, exclusion de fils/expéditeurs sensibles</w:t>
            </w:r>
          </w:p>
        </w:tc>
      </w:tr>
      <w:tr>
        <w:tc>
          <w:tcPr>
            <w:tcW w:type="dxa" w:w="23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Fiabilité LLM</w:t>
            </w:r>
          </w:p>
        </w:tc>
        <w:tc>
          <w:tcPr>
            <w:tcW w:type="dxa" w:w="70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Tout engagement sous le seuil n'est jamais présenté proactivement ; échéances inférées toujours signalées</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Human-in-the-loop</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Aucune action sortante sans clic de validation au MVP (marche 3)</w:t>
            </w:r>
          </w:p>
        </w:tc>
      </w:tr>
      <w:tr>
        <w:tc>
          <w:tcPr>
            <w:tcW w:type="dxa" w:w="23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Réversibilité</w:t>
            </w:r>
          </w:p>
        </w:tc>
        <w:tc>
          <w:tcPr>
            <w:tcW w:type="dxa" w:w="70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LLM derrière une couche d'abstraction — interchangeable sans refonte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Données sensibles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Filtres de catégories (RH, juridique, santé), pseudonymisation dans les logs</w:t>
            </w:r>
          </w:p>
        </w:tc>
      </w:tr>
      <w:tr>
        <w:tc>
          <w:tcPr>
            <w:tcW w:type="dxa" w:w="23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Économie unitaire</w:t>
            </w:r>
          </w:p>
        </w:tc>
        <w:tc>
          <w:tcPr>
            <w:tcW w:type="dxa" w:w="70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Pré-filtrage avant LLM + plafond d'actions par plan ; coût d'inférence à valider par test de charge réel</w:t>
            </w:r>
          </w:p>
        </w:tc>
      </w:tr>
    </w:tbl>
    <w:p>
      <w:pPr>
        <w:pStyle w:val="Heading1"/>
      </w:pPr>
      <w:r>
        <w:t xml:space="preserve">14. Critères de réussite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60"/>
        <w:gridCol w:w="2150"/>
        <w:gridCol w:w="2150"/>
      </w:tblGrid>
      <w:tr>
        <w:trPr>
          <w:tblHeader/>
        </w:trPr>
        <w:tc>
          <w:tcPr>
            <w:tcW w:type="dxa" w:w="506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Indicateur</w:t>
            </w:r>
          </w:p>
        </w:tc>
        <w:tc>
          <w:tcPr>
            <w:tcW w:type="dxa" w:w="215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Cible MVP</w:t>
            </w:r>
          </w:p>
        </w:tc>
        <w:tc>
          <w:tcPr>
            <w:tcW w:type="dxa" w:w="215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Signification</w:t>
            </w:r>
          </w:p>
        </w:tc>
      </w:tr>
      <w:tr>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Taux d'activation (5 premiers digests ouverts)</w:t>
            </w:r>
          </w:p>
        </w:tc>
        <w:tc>
          <w:tcPr>
            <w:tcW w:type="dxa" w:w="21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&gt; 70 %</w:t>
            </w:r>
          </w:p>
        </w:tc>
        <w:tc>
          <w:tcPr>
            <w:tcW w:type="dxa" w:w="21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Valeur dans la routine</w:t>
            </w:r>
          </w:p>
        </w:tc>
      </w:tr>
      <w:tr>
        <w:tc>
          <w:tcPr>
            <w:tcW w:type="dxa" w:w="50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Précision des extractions (après J+14)</w:t>
            </w:r>
          </w:p>
        </w:tc>
        <w:tc>
          <w:tcPr>
            <w:tcW w:type="dxa" w:w="215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&gt; 85 %</w:t>
            </w:r>
          </w:p>
        </w:tc>
        <w:tc>
          <w:tcPr>
            <w:tcW w:type="dxa" w:w="215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Confiance dans les données</w:t>
            </w:r>
          </w:p>
        </w:tc>
      </w:tr>
      <w:tr>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Taux de faux positifs dans les digests</w:t>
            </w:r>
          </w:p>
        </w:tc>
        <w:tc>
          <w:tcPr>
            <w:tcW w:type="dxa" w:w="21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&lt; 10 %</w:t>
            </w:r>
          </w:p>
        </w:tc>
        <w:tc>
          <w:tcPr>
            <w:tcW w:type="dxa" w:w="21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Anti-churn respecté</w:t>
            </w:r>
          </w:p>
        </w:tc>
      </w:tr>
      <w:tr>
        <w:tc>
          <w:tcPr>
            <w:tcW w:type="dxa" w:w="50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Corrections par semaine (après S3)</w:t>
            </w:r>
          </w:p>
        </w:tc>
        <w:tc>
          <w:tcPr>
            <w:tcW w:type="dxa" w:w="215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&lt; 3</w:t>
            </w:r>
          </w:p>
        </w:tc>
        <w:tc>
          <w:tcPr>
            <w:tcW w:type="dxa" w:w="215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Agent calibré</w:t>
            </w:r>
          </w:p>
        </w:tc>
      </w:tr>
      <w:tr>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Actions validées / actions suggérées</w:t>
            </w:r>
          </w:p>
        </w:tc>
        <w:tc>
          <w:tcPr>
            <w:tcW w:type="dxa" w:w="21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&gt; 40 %</w:t>
            </w:r>
          </w:p>
        </w:tc>
        <w:tc>
          <w:tcPr>
            <w:tcW w:type="dxa" w:w="21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Suggestions pertinentes</w:t>
            </w:r>
          </w:p>
        </w:tc>
      </w:tr>
      <w:tr>
        <w:tc>
          <w:tcPr>
            <w:tcW w:type="dxa" w:w="50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Temps dirigeant économisé (déclaratif)</w:t>
            </w:r>
          </w:p>
        </w:tc>
        <w:tc>
          <w:tcPr>
            <w:tcW w:type="dxa" w:w="215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&gt; 3 h/sem</w:t>
            </w:r>
          </w:p>
        </w:tc>
        <w:tc>
          <w:tcPr>
            <w:tcW w:type="dxa" w:w="215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ROI mesurable</w:t>
            </w:r>
          </w:p>
        </w:tc>
      </w:tr>
      <w:tr>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Incident critique lié à une action agent</w:t>
            </w:r>
          </w:p>
        </w:tc>
        <w:tc>
          <w:tcPr>
            <w:tcW w:type="dxa" w:w="21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0</w:t>
            </w:r>
          </w:p>
        </w:tc>
        <w:tc>
          <w:tcPr>
            <w:tcW w:type="dxa" w:w="21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Fiabilité de confiance</w:t>
            </w:r>
          </w:p>
        </w:tc>
      </w:tr>
    </w:tbl>
    <w:p>
      <w:pPr>
        <w:pStyle w:val="Heading1"/>
      </w:pPr>
      <w:r>
        <w:t xml:space="preserve">15. Risques et plan de réalisation</w:t>
      </w:r>
    </w:p>
    <w:p>
      <w:pPr>
        <w:pStyle w:val="Heading2"/>
      </w:pPr>
      <w:r>
        <w:t xml:space="preserve">15.1 Risques majeurs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4160"/>
      </w:tblGrid>
      <w:tr>
        <w:trPr>
          <w:tblHeader/>
        </w:trPr>
        <w:tc>
          <w:tcPr>
            <w:tcW w:type="dxa" w:w="90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w:t>
            </w:r>
          </w:p>
        </w:tc>
        <w:tc>
          <w:tcPr>
            <w:tcW w:type="dxa" w:w="430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Risque</w:t>
            </w:r>
          </w:p>
        </w:tc>
        <w:tc>
          <w:tcPr>
            <w:tcW w:type="dxa" w:w="416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Mitigation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R1</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Hallucination d'engagement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Seuil de confiance + lien vers source + validation humaine</w:t>
            </w:r>
          </w:p>
        </w:tc>
      </w:tr>
      <w:tr>
        <w:tc>
          <w:tcPr>
            <w:tcW w:type="dxa" w:w="9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R2</w:t>
            </w:r>
          </w:p>
        </w:tc>
        <w:tc>
          <w:tcPr>
            <w:tcW w:type="dxa" w:w="43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Faux positifs des détecteurs</w:t>
            </w:r>
          </w:p>
        </w:tc>
        <w:tc>
          <w:tcPr>
            <w:tcW w:type="dxa" w:w="41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Seuils appris par fil, calibration assumée dans le discours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R3</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Coûts d'inférence trop élevés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Pré-filtrage avant LLM, plafond d'actions par plan</w:t>
            </w:r>
          </w:p>
        </w:tc>
      </w:tr>
      <w:tr>
        <w:tc>
          <w:tcPr>
            <w:tcW w:type="dxa" w:w="9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R4</w:t>
            </w:r>
          </w:p>
        </w:tc>
        <w:tc>
          <w:tcPr>
            <w:tcW w:type="dxa" w:w="43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Données sensibles dans les emails</w:t>
            </w:r>
          </w:p>
        </w:tc>
        <w:tc>
          <w:tcPr>
            <w:tcW w:type="dxa" w:w="41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Filtres de catégories, exclusion configurable, pseudonymisation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R5</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Dirigeant qui n'ouvre pas ses digests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Suivi KPI activation à J+7, séquence de réactivation</w:t>
            </w:r>
          </w:p>
        </w:tc>
      </w:tr>
      <w:tr>
        <w:tc>
          <w:tcPr>
            <w:tcW w:type="dxa" w:w="9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R6</w:t>
            </w:r>
          </w:p>
        </w:tc>
        <w:tc>
          <w:tcPr>
            <w:tcW w:type="dxa" w:w="430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Graphe de dépendances trop fragile</w:t>
            </w:r>
          </w:p>
        </w:tc>
        <w:tc>
          <w:tcPr>
            <w:tcW w:type="dxa" w:w="416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Heuristique + confirmation au MVP, LLM en assistance seulement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R7</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Pic d'inférence à la génération du Miroir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Borner le coût de lecture des 30 jours, traitement par lots</w:t>
            </w:r>
          </w:p>
        </w:tc>
      </w:tr>
    </w:tbl>
    <w:p>
      <w:pPr>
        <w:pStyle w:val="Heading2"/>
      </w:pPr>
      <w:r>
        <w:t xml:space="preserve">15.2 Séquencement de développement (MVP — 3 mois)</w:t>
      </w:r>
    </w:p>
    <w:p>
      <w:pPr>
        <w:pStyle w:val="ListParagraph"/>
        <w:numPr>
          <w:ilvl w:val="0"/>
          <w:numId w:val="2"/>
        </w:numPr>
        <w:spacing w:after="60" w:line="276"/>
      </w:pPr>
      <w:r>
        <w:t xml:space="preserve">Socle : connecteur email derrière l'interface de canal, normalisation, pré-filtre, persistance.</w:t>
      </w:r>
    </w:p>
    <w:p>
      <w:pPr>
        <w:pStyle w:val="ListParagraph"/>
        <w:numPr>
          <w:ilvl w:val="0"/>
          <w:numId w:val="2"/>
        </w:numPr>
        <w:spacing w:after="60" w:line="276"/>
      </w:pPr>
      <w:r>
        <w:t xml:space="preserve">Extraction d'engagements + scoring de confiance + journal d'événements.</w:t>
      </w:r>
    </w:p>
    <w:p>
      <w:pPr>
        <w:pStyle w:val="ListParagraph"/>
        <w:numPr>
          <w:ilvl w:val="0"/>
          <w:numId w:val="2"/>
        </w:numPr>
        <w:spacing w:after="60" w:line="276"/>
      </w:pPr>
      <w:r>
        <w:t xml:space="preserve">Graphe heuristique + les 5 détecteurs.</w:t>
      </w:r>
    </w:p>
    <w:p>
      <w:pPr>
        <w:pStyle w:val="ListParagraph"/>
        <w:numPr>
          <w:ilvl w:val="0"/>
          <w:numId w:val="2"/>
        </w:numPr>
        <w:spacing w:after="60" w:line="276"/>
      </w:pPr>
      <w:r>
        <w:t xml:space="preserve">Miroir d'activité + capsule hybride (2 temps).</w:t>
      </w:r>
    </w:p>
    <w:p>
      <w:pPr>
        <w:pStyle w:val="ListParagraph"/>
        <w:numPr>
          <w:ilvl w:val="0"/>
          <w:numId w:val="2"/>
        </w:numPr>
        <w:spacing w:after="60" w:line="276"/>
      </w:pPr>
      <w:r>
        <w:t xml:space="preserve">Digest + alertes + brouillons + marche 3 + audit trail + mémoire de règles.</w:t>
      </w:r>
    </w:p>
    <w:p>
      <w:pPr>
        <w:spacing w:after="120" w:line="276"/>
      </w:pPr>
      <w:r>
        <w:rPr>
          <w:i/>
          <w:iCs/>
          <w:color w:val="555555"/>
        </w:rPr>
        <w:t xml:space="preserve">Fast-follow (mois 4–6) : connecteur WhatsApp Business API, digest sur WhatsApp, affinage des seuils sur données de production. Phase 2 (mois 6–12) : marche 4 encadrée, connecteurs CRM, canal vocal, pont vers le Module 2.</w:t>
      </w:r>
    </w:p>
    <w:p>
      <w:pPr>
        <w:pStyle w:val="Heading1"/>
      </w:pPr>
      <w:r>
        <w:t xml:space="preserve">16. Validation</w:t>
      </w:r>
    </w:p>
    <w:p>
      <w:pPr>
        <w:spacing w:after="120" w:line="276"/>
      </w:pPr>
      <w:r>
        <w:t xml:space="preserve">Le présent cahier des charges détaillé sert de référence unique de développement du MVP Agent Ops &amp; Delivery. Sa validation conjointe conditionne le lancement du développement. Toute évolution de périmètre donne lieu à une nouvelle version validée par les trois associés.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Associé / Rôle</w:t>
            </w:r>
          </w:p>
        </w:tc>
        <w:tc>
          <w:tcPr>
            <w:tcW w:type="dxa" w:w="312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Date</w:t>
            </w:r>
          </w:p>
        </w:tc>
        <w:tc>
          <w:tcPr>
            <w:tcW w:type="dxa" w:w="3120"/>
            <w:tcBorders>
              <w:top w:val="single" w:color="CCCCCC" w:sz="1"/>
              <w:left w:val="single" w:color="CCCCCC" w:sz="1"/>
              <w:bottom w:val="single" w:color="CCCCCC" w:sz="1"/>
              <w:right w:val="single" w:color="CCCCCC" w:sz="1"/>
            </w:tcBorders>
            <w:shd w:fill="021533" w:val="clear"/>
            <w:tcMar>
              <w:top w:type="dxa" w:w="80"/>
              <w:left w:type="dxa" w:w="120"/>
              <w:bottom w:type="dxa" w:w="80"/>
              <w:right w:type="dxa" w:w="120"/>
            </w:tcMar>
          </w:tcPr>
          <w:p>
            <w:r>
              <w:rPr>
                <w:b/>
                <w:bCs/>
                <w:color w:val="FFFFFF"/>
                <w:sz w:val="19"/>
                <w:szCs w:val="19"/>
              </w:rPr>
              <w:t xml:space="preserve">Validation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Yacouba — CEO (Produit)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
            </w:r>
          </w:p>
        </w:tc>
      </w:tr>
      <w:tr>
        <w:tc>
          <w:tcPr>
            <w:tcW w:type="dxa" w:w="312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bCs/>
                <w:sz w:val="19"/>
                <w:szCs w:val="19"/>
              </w:rPr>
              <w:t xml:space="preserve">Ibrahim Kebe — CTO</w:t>
            </w:r>
          </w:p>
        </w:tc>
        <w:tc>
          <w:tcPr>
            <w:tcW w:type="dxa" w:w="312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
            </w:r>
          </w:p>
        </w:tc>
        <w:tc>
          <w:tcPr>
            <w:tcW w:type="dxa" w:w="3120"/>
            <w:tcBorders>
              <w:top w:val="single" w:color="CCCCCC" w:sz="1"/>
              <w:left w:val="single" w:color="CCCCCC" w:sz="1"/>
              <w:bottom w:val="single" w:color="CCCCCC" w:sz="1"/>
              <w:right w:val="single" w:color="CCCCCC" w:sz="1"/>
            </w:tcBorders>
            <w:shd w:fill="EAF4F9" w:val="clear"/>
            <w:tcMar>
              <w:top w:type="dxa" w:w="80"/>
              <w:left w:type="dxa" w:w="120"/>
              <w:bottom w:type="dxa" w:w="80"/>
              <w:right w:type="dxa" w:w="120"/>
            </w:tcMar>
          </w:tcPr>
          <w:p>
            <w:pPr>
              <w:spacing w:after="0"/>
            </w:pPr>
            <w:r>
              <w:rPr>
                <w:b w:val="false"/>
                <w:bCs w:val="false"/>
                <w:sz w:val="19"/>
                <w:szCs w:val="19"/>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sz w:val="19"/>
                <w:szCs w:val="19"/>
              </w:rPr>
              <w:t xml:space="preserve">Aliou — CMO (Marché)</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color w:val="555555"/>
        <w:sz w:val="16"/>
        <w:szCs w:val="16"/>
      </w:rPr>
      <w:t xml:space="preserve">Confidentiel — usage interne</w:t>
    </w:r>
    <w:r>
      <w:rPr>
        <w:sz w:val="16"/>
        <w:szCs w:val="16"/>
      </w:rPr>
      <w:t xml:space="preserve">	</w:t>
    </w:r>
    <w:r>
      <w:rPr>
        <w:color w:val="555555"/>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color w:val="555555"/>
        <w:sz w:val="16"/>
        <w:szCs w:val="16"/>
      </w:rPr>
      <w:t xml:space="preserve">AgentOS PME — CDC détaillé — Module Agent Ops (MVP)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color w:val="40BDE0"/>
      </w:rPr>
    </w:lvl>
  </w:abstractNum>
  <w:abstractNum w:abstractNumId="3" w15:restartNumberingAfterBreak="0">
    <w:multiLevelType w:val="hybridMultilevel"/>
    <w:lvl w:ilvl="0" w15:tentative="1">
      <w:start w:val="1"/>
      <w:numFmt w:val="bullet"/>
      <w:lvlText w:val="•"/>
      <w:lvlJc w:val="left"/>
      <w:pPr>
        <w:ind w:left="540" w:hanging="260"/>
      </w:pPr>
      <w:rPr>
        <w:color w:val="40BDE0"/>
      </w:rPr>
    </w:lvl>
    <w:lvl w:ilvl="1" w15:tentative="1">
      <w:start w:val="1"/>
      <w:numFmt w:val="bullet"/>
      <w:lvlText w:val="–"/>
      <w:lvlJc w:val="left"/>
      <w:pPr>
        <w:ind w:left="1000" w:hanging="260"/>
      </w:pPr>
      <w:rPr>
        <w:color w:val="555555"/>
      </w:rPr>
    </w:lvl>
  </w:abstractNum>
  <w:abstractNum w:abstractNumId="4"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0BDE0" w:sz="6" w:space="4"/>
      </w:pBdr>
      <w:spacing w:after="160" w:before="320"/>
      <w:outlineLvl w:val="0"/>
    </w:pPr>
    <w:rPr>
      <w:rFonts w:ascii="Arial" w:cs="Arial" w:eastAsia="Arial" w:hAnsi="Arial"/>
      <w:b/>
      <w:bCs/>
      <w:color w:val="021533"/>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021533"/>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0BDE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détaillé — Module Agent Ops &amp; Delivery (MVP)</dc:title>
  <dc:creator>Kebe Agency — AgentOS PME</dc:creator>
  <cp:lastModifiedBy>Un-named</cp:lastModifiedBy>
  <cp:revision>1</cp:revision>
  <dcterms:created xsi:type="dcterms:W3CDTF">2026-06-22T12:20:21.948Z</dcterms:created>
  <dcterms:modified xsi:type="dcterms:W3CDTF">2026-06-22T12:20:21.970Z</dcterms:modified>
</cp:coreProperties>
</file>

<file path=docProps/custom.xml><?xml version="1.0" encoding="utf-8"?>
<Properties xmlns="http://schemas.openxmlformats.org/officeDocument/2006/custom-properties" xmlns:vt="http://schemas.openxmlformats.org/officeDocument/2006/docPropsVTypes"/>
</file>