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B5921" w14:textId="7540A73F" w:rsidR="00E2771E" w:rsidRPr="00E2771E" w:rsidRDefault="00E2771E" w:rsidP="00B425AB">
      <w:pPr>
        <w:pStyle w:val="a4"/>
      </w:pPr>
      <w:r w:rsidRPr="00E2771E">
        <w:t>Аннотация</w:t>
      </w:r>
      <w:r w:rsidRPr="00E2771E">
        <w:br/>
        <w:t xml:space="preserve">Мы рассматриваем пространственную задачу, возникающую при проведении лесозаготовок. По нормативным требованиям, площадь каждого вырубаемого блока не должна превышать определённое значение, как правило, 49 гектаров. Традиционно эта задача, называемая задачей смежности, решалась путём формирования априорных блоков из базовых ячеек площадью от 5 до 25 гектаров и последующего решения полученной задачи целочисленного программирования. Более качественные решения могут быть получены, если включить процесс формирования блоков непосредственно в процесс принятия решений. В этом случае возникающая задача становится значительно более сложной с комбинаторной точки зрения. Мы предлагаем точный алгоритмический подход, показавший хорошие результаты в вычислительных экспериментах. Данный метод основан на построении сильной формулировки задачи линейного программирования посредством </w:t>
      </w:r>
      <w:proofErr w:type="spellStart"/>
      <w:r w:rsidRPr="00E2771E">
        <w:t>кликовой</w:t>
      </w:r>
      <w:proofErr w:type="spellEnd"/>
      <w:r w:rsidRPr="00E2771E">
        <w:t xml:space="preserve"> репрезентации проецированной задачи.</w:t>
      </w:r>
    </w:p>
    <w:p w14:paraId="7E7E6F26" w14:textId="7D3D0EBD" w:rsidR="00B425AB" w:rsidRPr="00E2771E" w:rsidRDefault="00B425AB" w:rsidP="00B425AB">
      <w:pPr>
        <w:pStyle w:val="a4"/>
      </w:pPr>
      <w:r w:rsidRPr="00E2771E">
        <w:t>Введение</w:t>
      </w:r>
      <w:r w:rsidRPr="00E2771E">
        <w:br/>
        <w:t>Оптимизационные методы в лесном планировании на протяжении нескольких десятилетий широко и успешно применяются. Для реализации управленческих политик были разработаны модели линейного программирования (LP) и целочисленного программирования (IP), которые определяют, какие лесосеки необходимо разрабатывать в каждом периоде, чтобы удовлетворить прогнозируемый спрос и при этом соблюдать требования лесоводства, экологические, устойчивости и другие планировочные ограничения. Пространственное расположение хозяйственных мероприятий уже давно включено в модели принятия решений, поскольку оно влияет на места обитания диких животных, эстетические качества ландшафта и другие экологические факторы.</w:t>
      </w:r>
    </w:p>
    <w:p w14:paraId="537B0D9F" w14:textId="77777777" w:rsidR="00B425AB" w:rsidRPr="00E2771E" w:rsidRDefault="00B425AB" w:rsidP="00B425AB">
      <w:pPr>
        <w:pStyle w:val="a4"/>
      </w:pPr>
      <w:r w:rsidRPr="00E2771E">
        <w:t xml:space="preserve">Регулирование пространственных нарушений сейчас является стандартной практикой как в государственном, так и в частном </w:t>
      </w:r>
      <w:proofErr w:type="spellStart"/>
      <w:r w:rsidRPr="00E2771E">
        <w:t>лесоуправлении</w:t>
      </w:r>
      <w:proofErr w:type="spellEnd"/>
      <w:r w:rsidRPr="00E2771E">
        <w:t xml:space="preserve"> (Jones и др., 1991; </w:t>
      </w:r>
      <w:proofErr w:type="spellStart"/>
      <w:r w:rsidRPr="00E2771E">
        <w:t>Barrett</w:t>
      </w:r>
      <w:proofErr w:type="spellEnd"/>
      <w:r w:rsidRPr="00E2771E">
        <w:t xml:space="preserve"> и др., 1998; American </w:t>
      </w:r>
      <w:proofErr w:type="spellStart"/>
      <w:r w:rsidRPr="00E2771E">
        <w:t>Forest</w:t>
      </w:r>
      <w:proofErr w:type="spellEnd"/>
      <w:r w:rsidRPr="00E2771E">
        <w:t xml:space="preserve"> </w:t>
      </w:r>
      <w:proofErr w:type="spellStart"/>
      <w:r w:rsidRPr="00E2771E">
        <w:t>and</w:t>
      </w:r>
      <w:proofErr w:type="spellEnd"/>
      <w:r w:rsidRPr="00E2771E">
        <w:t xml:space="preserve"> Paper Association, 2001). Одним из распространённых подходов является запрет на вырубку смежных участков, площадь которых превышает определённое значение — идея, впервые предложенная </w:t>
      </w:r>
      <w:proofErr w:type="spellStart"/>
      <w:r w:rsidRPr="00E2771E">
        <w:t>Thompson</w:t>
      </w:r>
      <w:proofErr w:type="spellEnd"/>
      <w:r w:rsidRPr="00E2771E">
        <w:t xml:space="preserve"> и др. (1973). Как правило, этот предел равен 49 гектарам, однако он может варьироваться в зависимости от региона. Подобные нормы закреплены на уровне штатов и федеральном уровне в США (см. </w:t>
      </w:r>
      <w:proofErr w:type="spellStart"/>
      <w:r w:rsidRPr="00E2771E">
        <w:t>Thompson</w:t>
      </w:r>
      <w:proofErr w:type="spellEnd"/>
      <w:r w:rsidRPr="00E2771E">
        <w:t xml:space="preserve"> и др., 1973; Jones и др., 1991; </w:t>
      </w:r>
      <w:proofErr w:type="spellStart"/>
      <w:r w:rsidRPr="00E2771E">
        <w:t>McDill</w:t>
      </w:r>
      <w:proofErr w:type="spellEnd"/>
      <w:r w:rsidRPr="00E2771E">
        <w:t xml:space="preserve"> и др., 2002). В частности, Boston и </w:t>
      </w:r>
      <w:proofErr w:type="spellStart"/>
      <w:r w:rsidRPr="00E2771E">
        <w:t>Bettinger</w:t>
      </w:r>
      <w:proofErr w:type="spellEnd"/>
      <w:r w:rsidRPr="00E2771E">
        <w:t xml:space="preserve"> (2001) отмечают, что пространственные ограничения прямо установлены в Орегоне (49 га), Калифорнии (17 га), а также за рубежом, например в Швеции (20 га). Другие штаты и страны, ограничивающие пространственные воздействия, приведены у </w:t>
      </w:r>
      <w:proofErr w:type="spellStart"/>
      <w:r w:rsidRPr="00E2771E">
        <w:t>Barrett</w:t>
      </w:r>
      <w:proofErr w:type="spellEnd"/>
      <w:r w:rsidRPr="00E2771E">
        <w:t xml:space="preserve"> и </w:t>
      </w:r>
      <w:proofErr w:type="spellStart"/>
      <w:r w:rsidRPr="00E2771E">
        <w:t>Gilless</w:t>
      </w:r>
      <w:proofErr w:type="spellEnd"/>
      <w:r w:rsidRPr="00E2771E">
        <w:t xml:space="preserve"> (2000). Кроме того, в добровольном порядке в рамках инициативы «</w:t>
      </w:r>
      <w:proofErr w:type="spellStart"/>
      <w:r w:rsidRPr="00E2771E">
        <w:t>Sustainable</w:t>
      </w:r>
      <w:proofErr w:type="spellEnd"/>
      <w:r w:rsidRPr="00E2771E">
        <w:t xml:space="preserve"> </w:t>
      </w:r>
      <w:proofErr w:type="spellStart"/>
      <w:r w:rsidRPr="00E2771E">
        <w:t>Forestry</w:t>
      </w:r>
      <w:proofErr w:type="spellEnd"/>
      <w:r w:rsidRPr="00E2771E">
        <w:t xml:space="preserve"> Initiative» (SFI) предусмотрено, что участвующие частные леса в США должны управляться таким образом, чтобы «средний размер сплошных вырубок не превышал 120 акров» (American </w:t>
      </w:r>
      <w:proofErr w:type="spellStart"/>
      <w:r w:rsidRPr="00E2771E">
        <w:t>Forest</w:t>
      </w:r>
      <w:proofErr w:type="spellEnd"/>
      <w:r w:rsidRPr="00E2771E">
        <w:t xml:space="preserve"> </w:t>
      </w:r>
      <w:proofErr w:type="spellStart"/>
      <w:r w:rsidRPr="00E2771E">
        <w:t>and</w:t>
      </w:r>
      <w:proofErr w:type="spellEnd"/>
      <w:r w:rsidRPr="00E2771E">
        <w:t xml:space="preserve"> Paper Association, 2001, с. 4).</w:t>
      </w:r>
    </w:p>
    <w:p w14:paraId="32C680AD" w14:textId="77777777" w:rsidR="00B425AB" w:rsidRPr="00E2771E" w:rsidRDefault="00B425AB" w:rsidP="00B425AB">
      <w:pPr>
        <w:pStyle w:val="a4"/>
      </w:pPr>
      <w:r w:rsidRPr="00E2771E">
        <w:t xml:space="preserve">Особый вариант этой задачи известен как </w:t>
      </w:r>
      <w:r w:rsidRPr="00E2771E">
        <w:rPr>
          <w:rStyle w:val="a5"/>
        </w:rPr>
        <w:t>задача смежности</w:t>
      </w:r>
      <w:r w:rsidRPr="00E2771E">
        <w:t xml:space="preserve">. Если предположить, что управленческие участки меньше 49 гектаров, но больше 25 гектаров, то при условии, что участок разрабатывается в период </w:t>
      </w:r>
      <w:r w:rsidRPr="00E2771E">
        <w:rPr>
          <w:rStyle w:val="a6"/>
        </w:rPr>
        <w:t>t</w:t>
      </w:r>
      <w:r w:rsidRPr="00E2771E">
        <w:t>, ни один из его соседних участков не может быть вырублен в тот же период или в течение последующих периодов до завершения восстановления леса (так называемое условие «</w:t>
      </w:r>
      <w:proofErr w:type="spellStart"/>
      <w:r w:rsidRPr="00E2771E">
        <w:t>green-up</w:t>
      </w:r>
      <w:proofErr w:type="spellEnd"/>
      <w:r w:rsidRPr="00E2771E">
        <w:t xml:space="preserve">»). Это условие может быть сформулировано в виде модели IP с бинарными переменными и ограничениями, накладывающими </w:t>
      </w:r>
      <w:proofErr w:type="spellStart"/>
      <w:r w:rsidRPr="00E2771E">
        <w:t>смежностные</w:t>
      </w:r>
      <w:proofErr w:type="spellEnd"/>
      <w:r w:rsidRPr="00E2771E">
        <w:t xml:space="preserve"> условия. Однако решение такой задачи нетривиально, так как она относится к NP-трудным. Для её решения были предложены эвристики, такие как табу-поиск (</w:t>
      </w:r>
      <w:proofErr w:type="spellStart"/>
      <w:r w:rsidRPr="00E2771E">
        <w:t>Murray</w:t>
      </w:r>
      <w:proofErr w:type="spellEnd"/>
      <w:r w:rsidRPr="00E2771E">
        <w:t xml:space="preserve"> и </w:t>
      </w:r>
      <w:proofErr w:type="spellStart"/>
      <w:r w:rsidRPr="00E2771E">
        <w:t>Church</w:t>
      </w:r>
      <w:proofErr w:type="spellEnd"/>
      <w:r w:rsidRPr="00E2771E">
        <w:t>, 1995), имитация отжига (</w:t>
      </w:r>
      <w:proofErr w:type="spellStart"/>
      <w:r w:rsidRPr="00E2771E">
        <w:t>Murray</w:t>
      </w:r>
      <w:proofErr w:type="spellEnd"/>
      <w:r w:rsidRPr="00E2771E">
        <w:t xml:space="preserve"> и </w:t>
      </w:r>
      <w:proofErr w:type="spellStart"/>
      <w:r w:rsidRPr="00E2771E">
        <w:t>Church</w:t>
      </w:r>
      <w:proofErr w:type="spellEnd"/>
      <w:r w:rsidRPr="00E2771E">
        <w:t>, 1995), моделирование Монте-Карло (</w:t>
      </w:r>
      <w:proofErr w:type="spellStart"/>
      <w:r w:rsidRPr="00E2771E">
        <w:t>O’Hare</w:t>
      </w:r>
      <w:proofErr w:type="spellEnd"/>
      <w:r w:rsidRPr="00E2771E">
        <w:t xml:space="preserve"> и др., 1989; </w:t>
      </w:r>
      <w:proofErr w:type="spellStart"/>
      <w:r w:rsidRPr="00E2771E">
        <w:t>Nelson</w:t>
      </w:r>
      <w:proofErr w:type="spellEnd"/>
      <w:r w:rsidRPr="00E2771E">
        <w:t xml:space="preserve"> и </w:t>
      </w:r>
      <w:proofErr w:type="spellStart"/>
      <w:r w:rsidRPr="00E2771E">
        <w:t>Brodie</w:t>
      </w:r>
      <w:proofErr w:type="spellEnd"/>
      <w:r w:rsidRPr="00E2771E">
        <w:t>, 1990), а также точные методы, включая динамическое программирование (</w:t>
      </w:r>
      <w:proofErr w:type="spellStart"/>
      <w:r w:rsidRPr="00E2771E">
        <w:t>Hoganson</w:t>
      </w:r>
      <w:proofErr w:type="spellEnd"/>
      <w:r w:rsidRPr="00E2771E">
        <w:t xml:space="preserve"> и </w:t>
      </w:r>
      <w:proofErr w:type="spellStart"/>
      <w:r w:rsidRPr="00E2771E">
        <w:t>Borges</w:t>
      </w:r>
      <w:proofErr w:type="spellEnd"/>
      <w:r w:rsidRPr="00E2771E">
        <w:t xml:space="preserve">, 1998), метод </w:t>
      </w:r>
      <w:r w:rsidRPr="00E2771E">
        <w:lastRenderedPageBreak/>
        <w:t>порождения столбцов (</w:t>
      </w:r>
      <w:proofErr w:type="spellStart"/>
      <w:r w:rsidRPr="00E2771E">
        <w:t>Barahona</w:t>
      </w:r>
      <w:proofErr w:type="spellEnd"/>
      <w:r w:rsidRPr="00E2771E">
        <w:t xml:space="preserve"> и др., 1992) и методы усиления формулировки (</w:t>
      </w:r>
      <w:proofErr w:type="spellStart"/>
      <w:r w:rsidRPr="00E2771E">
        <w:t>Murray</w:t>
      </w:r>
      <w:proofErr w:type="spellEnd"/>
      <w:r w:rsidRPr="00E2771E">
        <w:t xml:space="preserve"> и </w:t>
      </w:r>
      <w:proofErr w:type="spellStart"/>
      <w:r w:rsidRPr="00E2771E">
        <w:t>Church</w:t>
      </w:r>
      <w:proofErr w:type="spellEnd"/>
      <w:r w:rsidRPr="00E2771E">
        <w:t>, 1996, 1997). Эти подходы оказались относительно успешными.</w:t>
      </w:r>
    </w:p>
    <w:p w14:paraId="0443469E" w14:textId="77777777" w:rsidR="00B425AB" w:rsidRPr="00E2771E" w:rsidRDefault="00B425AB" w:rsidP="00B425AB">
      <w:pPr>
        <w:pStyle w:val="a4"/>
      </w:pPr>
      <w:r w:rsidRPr="00E2771E">
        <w:t>Новый подход к данной задаче был предложен, когда было отмечено, что планировочные единицы вырубки обычно состоят из меньших управленческих ячеек (</w:t>
      </w:r>
      <w:proofErr w:type="spellStart"/>
      <w:r w:rsidRPr="00E2771E">
        <w:t>Hokans</w:t>
      </w:r>
      <w:proofErr w:type="spellEnd"/>
      <w:r w:rsidRPr="00E2771E">
        <w:t xml:space="preserve">, 1983; </w:t>
      </w:r>
      <w:proofErr w:type="spellStart"/>
      <w:r w:rsidRPr="00E2771E">
        <w:t>Lockwood</w:t>
      </w:r>
      <w:proofErr w:type="spellEnd"/>
      <w:r w:rsidRPr="00E2771E">
        <w:t xml:space="preserve"> и </w:t>
      </w:r>
      <w:proofErr w:type="spellStart"/>
      <w:r w:rsidRPr="00E2771E">
        <w:t>Moore</w:t>
      </w:r>
      <w:proofErr w:type="spellEnd"/>
      <w:r w:rsidRPr="00E2771E">
        <w:t xml:space="preserve">, 1993; </w:t>
      </w:r>
      <w:proofErr w:type="spellStart"/>
      <w:r w:rsidRPr="00E2771E">
        <w:t>Murray</w:t>
      </w:r>
      <w:proofErr w:type="spellEnd"/>
      <w:r w:rsidRPr="00E2771E">
        <w:t xml:space="preserve">, 1999). Эти ячейки представляют собой базовые единицы, которые могут быть вырублены. В традиционных моделях смежности, называемых </w:t>
      </w:r>
      <w:proofErr w:type="spellStart"/>
      <w:r w:rsidRPr="00E2771E">
        <w:rPr>
          <w:rStyle w:val="a6"/>
        </w:rPr>
        <w:t>unit</w:t>
      </w:r>
      <w:proofErr w:type="spellEnd"/>
      <w:r w:rsidRPr="00E2771E">
        <w:rPr>
          <w:rStyle w:val="a6"/>
        </w:rPr>
        <w:t xml:space="preserve"> </w:t>
      </w:r>
      <w:proofErr w:type="spellStart"/>
      <w:r w:rsidRPr="00E2771E">
        <w:rPr>
          <w:rStyle w:val="a6"/>
        </w:rPr>
        <w:t>restriction</w:t>
      </w:r>
      <w:proofErr w:type="spellEnd"/>
      <w:r w:rsidRPr="00E2771E">
        <w:rPr>
          <w:rStyle w:val="a6"/>
        </w:rPr>
        <w:t xml:space="preserve"> </w:t>
      </w:r>
      <w:proofErr w:type="spellStart"/>
      <w:r w:rsidRPr="00E2771E">
        <w:rPr>
          <w:rStyle w:val="a6"/>
        </w:rPr>
        <w:t>model</w:t>
      </w:r>
      <w:proofErr w:type="spellEnd"/>
      <w:r w:rsidRPr="00E2771E">
        <w:t xml:space="preserve"> (URM) у </w:t>
      </w:r>
      <w:proofErr w:type="spellStart"/>
      <w:r w:rsidRPr="00E2771E">
        <w:t>Murray</w:t>
      </w:r>
      <w:proofErr w:type="spellEnd"/>
      <w:r w:rsidRPr="00E2771E">
        <w:t xml:space="preserve"> (1999), управленческие единицы формируются априори планировщиком. То есть, используя характеристики леса, часто поддерживаемые системами ГИС, планировщик объединяет базовые ячейки в вырубочные участки (</w:t>
      </w:r>
      <w:proofErr w:type="spellStart"/>
      <w:r w:rsidRPr="00E2771E">
        <w:t>Barrett</w:t>
      </w:r>
      <w:proofErr w:type="spellEnd"/>
      <w:r w:rsidRPr="00E2771E">
        <w:t xml:space="preserve">, 1997). Обычно размер базовых ячеек составляет от 5 до 25 гектаров, и, следовательно, вырубочный участок включает от 3 до 8 ячеек. Таким образом, использование базовых ячеек приводит к другой задаче лесопользования, где ограничения на площадь нельзя наложить с помощью </w:t>
      </w:r>
      <w:proofErr w:type="spellStart"/>
      <w:r w:rsidRPr="00E2771E">
        <w:t>смежностных</w:t>
      </w:r>
      <w:proofErr w:type="spellEnd"/>
      <w:r w:rsidRPr="00E2771E">
        <w:t xml:space="preserve"> условий, как это делается в URM. Этот подход известен как </w:t>
      </w:r>
      <w:proofErr w:type="spellStart"/>
      <w:r w:rsidRPr="00E2771E">
        <w:rPr>
          <w:rStyle w:val="a6"/>
        </w:rPr>
        <w:t>area</w:t>
      </w:r>
      <w:proofErr w:type="spellEnd"/>
      <w:r w:rsidRPr="00E2771E">
        <w:rPr>
          <w:rStyle w:val="a6"/>
        </w:rPr>
        <w:t xml:space="preserve"> </w:t>
      </w:r>
      <w:proofErr w:type="spellStart"/>
      <w:r w:rsidRPr="00E2771E">
        <w:rPr>
          <w:rStyle w:val="a6"/>
        </w:rPr>
        <w:t>restriction</w:t>
      </w:r>
      <w:proofErr w:type="spellEnd"/>
      <w:r w:rsidRPr="00E2771E">
        <w:rPr>
          <w:rStyle w:val="a6"/>
        </w:rPr>
        <w:t xml:space="preserve"> </w:t>
      </w:r>
      <w:proofErr w:type="spellStart"/>
      <w:r w:rsidRPr="00E2771E">
        <w:rPr>
          <w:rStyle w:val="a6"/>
        </w:rPr>
        <w:t>model</w:t>
      </w:r>
      <w:proofErr w:type="spellEnd"/>
      <w:r w:rsidRPr="00E2771E">
        <w:t xml:space="preserve"> (ARM) у </w:t>
      </w:r>
      <w:proofErr w:type="spellStart"/>
      <w:r w:rsidRPr="00E2771E">
        <w:t>Murray</w:t>
      </w:r>
      <w:proofErr w:type="spellEnd"/>
      <w:r w:rsidRPr="00E2771E">
        <w:t xml:space="preserve"> (1999).</w:t>
      </w:r>
    </w:p>
    <w:p w14:paraId="23F8BFBE" w14:textId="77777777" w:rsidR="00B425AB" w:rsidRPr="00E2771E" w:rsidRDefault="00B425AB" w:rsidP="00B425AB">
      <w:pPr>
        <w:pStyle w:val="a4"/>
      </w:pPr>
      <w:r w:rsidRPr="00E2771E">
        <w:t>ARM представляет собой важную и сложную задачу планирования вырубок. До настоящего времени методы её решения в основном были эвристическими (</w:t>
      </w:r>
      <w:proofErr w:type="spellStart"/>
      <w:r w:rsidRPr="00E2771E">
        <w:t>Hokans</w:t>
      </w:r>
      <w:proofErr w:type="spellEnd"/>
      <w:r w:rsidRPr="00E2771E">
        <w:t xml:space="preserve">, 1983; </w:t>
      </w:r>
      <w:proofErr w:type="spellStart"/>
      <w:r w:rsidRPr="00E2771E">
        <w:t>Lockwood</w:t>
      </w:r>
      <w:proofErr w:type="spellEnd"/>
      <w:r w:rsidRPr="00E2771E">
        <w:t xml:space="preserve"> и </w:t>
      </w:r>
      <w:proofErr w:type="spellStart"/>
      <w:r w:rsidRPr="00E2771E">
        <w:t>Moore</w:t>
      </w:r>
      <w:proofErr w:type="spellEnd"/>
      <w:r w:rsidRPr="00E2771E">
        <w:t xml:space="preserve">, 1993; </w:t>
      </w:r>
      <w:proofErr w:type="spellStart"/>
      <w:r w:rsidRPr="00E2771E">
        <w:t>Barrett</w:t>
      </w:r>
      <w:proofErr w:type="spellEnd"/>
      <w:r w:rsidRPr="00E2771E">
        <w:t xml:space="preserve"> и др., 1998; </w:t>
      </w:r>
      <w:proofErr w:type="spellStart"/>
      <w:r w:rsidRPr="00E2771E">
        <w:t>Clark</w:t>
      </w:r>
      <w:proofErr w:type="spellEnd"/>
      <w:r w:rsidRPr="00E2771E">
        <w:t xml:space="preserve"> и др., 2000; </w:t>
      </w:r>
      <w:proofErr w:type="spellStart"/>
      <w:r w:rsidRPr="00E2771E">
        <w:t>Richards</w:t>
      </w:r>
      <w:proofErr w:type="spellEnd"/>
      <w:r w:rsidRPr="00E2771E">
        <w:t xml:space="preserve"> и </w:t>
      </w:r>
      <w:proofErr w:type="spellStart"/>
      <w:r w:rsidRPr="00E2771E">
        <w:t>Gunn</w:t>
      </w:r>
      <w:proofErr w:type="spellEnd"/>
      <w:r w:rsidRPr="00E2771E">
        <w:t xml:space="preserve">, 2000; Boston и </w:t>
      </w:r>
      <w:proofErr w:type="spellStart"/>
      <w:r w:rsidRPr="00E2771E">
        <w:t>Bettinger</w:t>
      </w:r>
      <w:proofErr w:type="spellEnd"/>
      <w:r w:rsidRPr="00E2771E">
        <w:t xml:space="preserve">, 2002). Также существует два направления точных методов. Первое предложено </w:t>
      </w:r>
      <w:proofErr w:type="spellStart"/>
      <w:r w:rsidRPr="00E2771E">
        <w:t>McDill</w:t>
      </w:r>
      <w:proofErr w:type="spellEnd"/>
      <w:r w:rsidRPr="00E2771E">
        <w:t xml:space="preserve"> и др. (2002) и развито </w:t>
      </w:r>
      <w:proofErr w:type="spellStart"/>
      <w:r w:rsidRPr="00E2771E">
        <w:t>Crowe</w:t>
      </w:r>
      <w:proofErr w:type="spellEnd"/>
      <w:r w:rsidRPr="00E2771E">
        <w:t xml:space="preserve"> и др. (2003) для задач среднего и крупного масштаба с несколькими периодами. Второе направление точных методов представлено в работах </w:t>
      </w:r>
      <w:proofErr w:type="spellStart"/>
      <w:r w:rsidRPr="00E2771E">
        <w:t>Martins</w:t>
      </w:r>
      <w:proofErr w:type="spellEnd"/>
      <w:r w:rsidRPr="00E2771E">
        <w:t xml:space="preserve"> и др. (1999, 2000), хотя в ином контексте. Именно это направление мы развиваем далее.</w:t>
      </w:r>
    </w:p>
    <w:p w14:paraId="5410FD04" w14:textId="17806309" w:rsidR="00B425AB" w:rsidRPr="00E2771E" w:rsidRDefault="00B425AB" w:rsidP="00B425AB">
      <w:pPr>
        <w:pStyle w:val="a4"/>
      </w:pPr>
      <w:r w:rsidRPr="00E2771E">
        <w:t xml:space="preserve">В данной статье предлагается точный алгоритмический подход к задаче ограничений по площади. Вклад работы заключается в двух аспектах: 1. вводится компактная, строгая (с точки зрения LP-релаксации) и легко формулируемая модель, позволяющая эффективно решать задачи среднего и крупного масштаба; 2. предлагается новая методология, называемая </w:t>
      </w:r>
      <w:proofErr w:type="spellStart"/>
      <w:r w:rsidRPr="00E2771E">
        <w:rPr>
          <w:rStyle w:val="a6"/>
        </w:rPr>
        <w:t>constraint</w:t>
      </w:r>
      <w:proofErr w:type="spellEnd"/>
      <w:r w:rsidRPr="00E2771E">
        <w:rPr>
          <w:rStyle w:val="a6"/>
        </w:rPr>
        <w:t xml:space="preserve"> </w:t>
      </w:r>
      <w:proofErr w:type="spellStart"/>
      <w:r w:rsidRPr="00E2771E">
        <w:rPr>
          <w:rStyle w:val="a6"/>
        </w:rPr>
        <w:t>projection</w:t>
      </w:r>
      <w:proofErr w:type="spellEnd"/>
      <w:r w:rsidRPr="00E2771E">
        <w:t>, для генерации допустимых неравенств.</w:t>
      </w:r>
    </w:p>
    <w:p w14:paraId="2AC76330" w14:textId="77777777" w:rsidR="00B425AB" w:rsidRPr="00E2771E" w:rsidRDefault="00B425AB" w:rsidP="00B425AB">
      <w:pPr>
        <w:pStyle w:val="a4"/>
      </w:pPr>
      <w:r w:rsidRPr="00E2771E">
        <w:t>В §2 описываются ограничения по площади. В §3 представлены несколько вариантов формулировок модели для наложения этих ограничений. В §4 изучаются усиленные формулировки и предлагается новая модель. В §5 приводятся и обсуждаются результаты применения, а в §6 формулируются выводы.</w:t>
      </w:r>
    </w:p>
    <w:p w14:paraId="5EDA9FC2" w14:textId="76952968" w:rsidR="00CC3B0C" w:rsidRPr="00432669" w:rsidRDefault="00CC3B0C" w:rsidP="00E2771E">
      <w:pPr>
        <w:ind w:firstLine="0"/>
      </w:pPr>
    </w:p>
    <w:p w14:paraId="53626F85" w14:textId="025D2965" w:rsidR="00432669" w:rsidRDefault="00432669" w:rsidP="00E2771E">
      <w:pPr>
        <w:ind w:firstLine="0"/>
      </w:pPr>
    </w:p>
    <w:p w14:paraId="4B09C6A1" w14:textId="19DCD4D1" w:rsidR="00432669" w:rsidRPr="00432669" w:rsidRDefault="00432669" w:rsidP="00432669">
      <w:pPr>
        <w:ind w:firstLine="0"/>
        <w:jc w:val="center"/>
        <w:rPr>
          <w:rFonts w:cs="Times New Roman"/>
          <w:sz w:val="32"/>
          <w:szCs w:val="32"/>
          <w:lang w:val="en-US"/>
        </w:rPr>
      </w:pPr>
      <w:r w:rsidRPr="00432669">
        <w:rPr>
          <w:rFonts w:cs="Times New Roman"/>
          <w:sz w:val="32"/>
          <w:szCs w:val="32"/>
          <w:shd w:val="clear" w:color="auto" w:fill="F5F5F5"/>
          <w:lang w:val="en-US"/>
        </w:rPr>
        <w:t>Abstract retelling</w:t>
      </w:r>
    </w:p>
    <w:p w14:paraId="20ED76C8" w14:textId="77777777" w:rsidR="007032FA" w:rsidRDefault="00432669" w:rsidP="007032FA">
      <w:pPr>
        <w:rPr>
          <w:sz w:val="32"/>
          <w:szCs w:val="32"/>
          <w:lang w:val="en-US"/>
        </w:rPr>
      </w:pPr>
      <w:r w:rsidRPr="001B0A44">
        <w:rPr>
          <w:sz w:val="32"/>
          <w:szCs w:val="32"/>
          <w:lang w:val="en-US"/>
        </w:rPr>
        <w:t>The title of the article I have reviewed is</w:t>
      </w:r>
      <w:r w:rsidRPr="001B0A44">
        <w:rPr>
          <w:sz w:val="32"/>
          <w:szCs w:val="32"/>
          <w:lang w:val="en-US"/>
        </w:rPr>
        <w:t xml:space="preserve"> </w:t>
      </w:r>
      <w:r w:rsidRPr="001B0A44">
        <w:rPr>
          <w:sz w:val="32"/>
          <w:szCs w:val="32"/>
          <w:lang w:val="en-US"/>
        </w:rPr>
        <w:t>"Harvest Scheduling Subject to Maximum Area Restrictions: Exploring Exact Approaches"</w:t>
      </w:r>
      <w:r w:rsidRPr="001B0A44">
        <w:rPr>
          <w:sz w:val="32"/>
          <w:szCs w:val="32"/>
          <w:lang w:val="en-US"/>
        </w:rPr>
        <w:t xml:space="preserve">. </w:t>
      </w:r>
      <w:r w:rsidRPr="001B0A44">
        <w:rPr>
          <w:sz w:val="32"/>
          <w:szCs w:val="32"/>
          <w:lang w:val="en-US"/>
        </w:rPr>
        <w:t xml:space="preserve">The authors of the article are Marcos </w:t>
      </w:r>
      <w:proofErr w:type="spellStart"/>
      <w:r w:rsidRPr="001B0A44">
        <w:rPr>
          <w:sz w:val="32"/>
          <w:szCs w:val="32"/>
          <w:lang w:val="en-US"/>
        </w:rPr>
        <w:t>Goicoolea</w:t>
      </w:r>
      <w:proofErr w:type="spellEnd"/>
      <w:r w:rsidRPr="001B0A44">
        <w:rPr>
          <w:sz w:val="32"/>
          <w:szCs w:val="32"/>
          <w:lang w:val="en-US"/>
        </w:rPr>
        <w:t>, Alan T. Murray, Francisco Barahona, Rafael Epstein and Andres Weintraub. The article was published in the May-June 2005 issue of the peer-reviewed scientific journal Operations Research.</w:t>
      </w:r>
      <w:r w:rsidRPr="001B0A44">
        <w:rPr>
          <w:sz w:val="32"/>
          <w:szCs w:val="32"/>
          <w:lang w:val="en-US"/>
        </w:rPr>
        <w:t xml:space="preserve"> </w:t>
      </w:r>
    </w:p>
    <w:p w14:paraId="0B5AEE83" w14:textId="11F28BE4" w:rsidR="001B0A44" w:rsidRPr="001B0A44" w:rsidRDefault="00432669" w:rsidP="007032FA">
      <w:pPr>
        <w:rPr>
          <w:sz w:val="32"/>
          <w:szCs w:val="32"/>
          <w:lang w:val="en-US"/>
        </w:rPr>
      </w:pPr>
      <w:r w:rsidRPr="001B0A44">
        <w:rPr>
          <w:sz w:val="32"/>
          <w:szCs w:val="32"/>
          <w:lang w:val="en-US"/>
        </w:rPr>
        <w:t xml:space="preserve">The main question addressed in this paper is how to optimally plan forest clearcutting while respecting strict environmental regulations that limit the maximum </w:t>
      </w:r>
      <w:proofErr w:type="spellStart"/>
      <w:r w:rsidRPr="001B0A44">
        <w:rPr>
          <w:sz w:val="32"/>
          <w:szCs w:val="32"/>
          <w:lang w:val="en-US"/>
        </w:rPr>
        <w:t>clearcut</w:t>
      </w:r>
      <w:proofErr w:type="spellEnd"/>
      <w:r w:rsidRPr="001B0A44">
        <w:rPr>
          <w:sz w:val="32"/>
          <w:szCs w:val="32"/>
          <w:lang w:val="en-US"/>
        </w:rPr>
        <w:t xml:space="preserve"> area (e.g. 49 hectares). The hypothesis of the study is that traditional approaches to this problem are suboptimal and that </w:t>
      </w:r>
      <w:r w:rsidRPr="001B0A44">
        <w:rPr>
          <w:sz w:val="32"/>
          <w:szCs w:val="32"/>
          <w:lang w:val="en-US"/>
        </w:rPr>
        <w:lastRenderedPageBreak/>
        <w:t>an exact algorithmic approach based on integer programming methods can be developed that will yield better solutions in an acceptable time if its strong formulation is found.</w:t>
      </w:r>
      <w:r w:rsidR="001B0A44" w:rsidRPr="001B0A44">
        <w:rPr>
          <w:lang w:val="en-US"/>
        </w:rPr>
        <w:t xml:space="preserve"> </w:t>
      </w:r>
      <w:r w:rsidR="001B0A44" w:rsidRPr="001B0A44">
        <w:rPr>
          <w:sz w:val="32"/>
          <w:szCs w:val="32"/>
          <w:lang w:val="en-US"/>
        </w:rPr>
        <w:t>The central topic of the article is the optimization of spatial planning in forestry taking into account environmental constraints. The article is devoted to solving a complex combinatorial problem known as the Area Restriction Model (ARM). The main goal of the article is to present a new, extended area restriction model (EARM), which takes into account the differences between strong and weak contiguity of forest areas.</w:t>
      </w:r>
      <w:r w:rsidR="001B0A44" w:rsidRPr="001B0A44">
        <w:rPr>
          <w:lang w:val="en-US"/>
        </w:rPr>
        <w:t xml:space="preserve"> </w:t>
      </w:r>
      <w:r w:rsidR="001B0A44" w:rsidRPr="001B0A44">
        <w:rPr>
          <w:sz w:val="32"/>
          <w:szCs w:val="32"/>
          <w:lang w:val="en-US"/>
        </w:rPr>
        <w:t>The authors propose several formulations of the problem as integer programming (IP) problems. The key method discussed in the paper is the constraint projection method. This method allows generating strong feasible inequalities for the difficult cluster packing problem (CPP) based on the simpler and well-studied node packing problem (NPP) in a graph representing a forest.</w:t>
      </w:r>
      <w:r w:rsidR="001B0A44">
        <w:rPr>
          <w:sz w:val="32"/>
          <w:szCs w:val="32"/>
          <w:lang w:val="en-US"/>
        </w:rPr>
        <w:br/>
      </w:r>
      <w:r w:rsidR="001B0A44" w:rsidRPr="001B0A44">
        <w:rPr>
          <w:sz w:val="32"/>
          <w:szCs w:val="32"/>
          <w:lang w:val="en-US"/>
        </w:rPr>
        <w:t>The most important results of the study are as follows:</w:t>
      </w:r>
    </w:p>
    <w:p w14:paraId="62D18277" w14:textId="13CCF0E0" w:rsidR="001B0A44" w:rsidRPr="001B0A44" w:rsidRDefault="001B0A44" w:rsidP="001B0A44">
      <w:pPr>
        <w:pStyle w:val="a7"/>
        <w:numPr>
          <w:ilvl w:val="0"/>
          <w:numId w:val="2"/>
        </w:numPr>
        <w:rPr>
          <w:sz w:val="32"/>
          <w:szCs w:val="32"/>
          <w:lang w:val="en-US"/>
        </w:rPr>
      </w:pPr>
      <w:r w:rsidRPr="001B0A44">
        <w:rPr>
          <w:sz w:val="32"/>
          <w:szCs w:val="32"/>
          <w:lang w:val="en-US"/>
        </w:rPr>
        <w:t>The proposed stronger formulation of EARM-4 (based on constraint-clique projection) showed significantly better performance compared to earlier and simpler formulations (EARM-1 and EARM-2).</w:t>
      </w:r>
    </w:p>
    <w:p w14:paraId="4515644C" w14:textId="384184F6" w:rsidR="001B0A44" w:rsidRPr="001B0A44" w:rsidRDefault="001B0A44" w:rsidP="001B0A44">
      <w:pPr>
        <w:pStyle w:val="a7"/>
        <w:numPr>
          <w:ilvl w:val="0"/>
          <w:numId w:val="2"/>
        </w:numPr>
        <w:rPr>
          <w:sz w:val="32"/>
          <w:szCs w:val="32"/>
          <w:lang w:val="en-US"/>
        </w:rPr>
      </w:pPr>
      <w:r w:rsidRPr="001B0A44">
        <w:rPr>
          <w:sz w:val="32"/>
          <w:szCs w:val="32"/>
          <w:lang w:val="en-US"/>
        </w:rPr>
        <w:t>The linear relaxation of EARM-4 gives very tight estimates, very close to the optimal integer solution, which significantly speeds up the branch and bound algorithm.</w:t>
      </w:r>
    </w:p>
    <w:p w14:paraId="300FC0A8" w14:textId="4496A510" w:rsidR="001B0A44" w:rsidRPr="001B0A44" w:rsidRDefault="001B0A44" w:rsidP="001B0A44">
      <w:pPr>
        <w:pStyle w:val="a7"/>
        <w:numPr>
          <w:ilvl w:val="0"/>
          <w:numId w:val="2"/>
        </w:numPr>
        <w:rPr>
          <w:sz w:val="32"/>
          <w:szCs w:val="32"/>
          <w:lang w:val="en-US"/>
        </w:rPr>
      </w:pPr>
      <w:r w:rsidRPr="001B0A44">
        <w:rPr>
          <w:sz w:val="32"/>
          <w:szCs w:val="32"/>
          <w:lang w:val="en-US"/>
        </w:rPr>
        <w:t>For medium-sized problems (up to 1351 cells and 7 time periods), the EARM-4-based algorithm was able to find optimal or near-optimal (with an accuracy of 1-3%) solutions in a reasonable time (from seconds to several hours), while earlier models failed to do so.</w:t>
      </w:r>
    </w:p>
    <w:p w14:paraId="6EFA167C" w14:textId="7A51DD58" w:rsidR="001B0A44" w:rsidRDefault="001B0A44" w:rsidP="001B0A44">
      <w:pPr>
        <w:pStyle w:val="a7"/>
        <w:numPr>
          <w:ilvl w:val="0"/>
          <w:numId w:val="2"/>
        </w:numPr>
        <w:rPr>
          <w:sz w:val="32"/>
          <w:szCs w:val="32"/>
          <w:lang w:val="en-US"/>
        </w:rPr>
      </w:pPr>
      <w:r w:rsidRPr="001B0A44">
        <w:rPr>
          <w:sz w:val="32"/>
          <w:szCs w:val="32"/>
          <w:lang w:val="en-US"/>
        </w:rPr>
        <w:t>The hypothesis that a strong formulation of the problem will allow it to be solved efficiently by exact methods was confirmed.</w:t>
      </w:r>
    </w:p>
    <w:p w14:paraId="47F9A517" w14:textId="77777777" w:rsidR="007032FA" w:rsidRDefault="001B0A44" w:rsidP="007032FA">
      <w:pPr>
        <w:rPr>
          <w:sz w:val="32"/>
          <w:szCs w:val="32"/>
          <w:lang w:val="en-US"/>
        </w:rPr>
      </w:pPr>
      <w:r w:rsidRPr="001B0A44">
        <w:rPr>
          <w:sz w:val="32"/>
          <w:szCs w:val="32"/>
          <w:lang w:val="en-US"/>
        </w:rPr>
        <w:t>The authors explain the success of EARM-4 by the fact that the projection method allows transferring the formulation power from an ideal but unrealizable model (EARM-3) to a compact and solvable one. In conclusion, it is emphasized that the proposed approach represents a practical, accurate method for solving complex spatial problems of medium scale in forestry.</w:t>
      </w:r>
    </w:p>
    <w:p w14:paraId="31A5682A" w14:textId="7105E6D5" w:rsidR="001B0A44" w:rsidRPr="001B0A44" w:rsidRDefault="007032FA" w:rsidP="007032FA">
      <w:pPr>
        <w:rPr>
          <w:sz w:val="32"/>
          <w:szCs w:val="32"/>
          <w:lang w:val="en-US"/>
        </w:rPr>
      </w:pPr>
      <w:r w:rsidRPr="007032FA">
        <w:rPr>
          <w:sz w:val="32"/>
          <w:szCs w:val="32"/>
          <w:lang w:val="en-US"/>
        </w:rPr>
        <w:t xml:space="preserve">After reading the article, I came to the conclusion that the precise algorithmic approach proposed by the authors is not directly suitable for my task. The key limitation is that their method (EARM) requires a pre-generated set of all possible admissible clusters (Λ) as input. In my case, the clusters are not defined initially, and their formation is not a </w:t>
      </w:r>
      <w:r w:rsidRPr="007032FA">
        <w:rPr>
          <w:sz w:val="32"/>
          <w:szCs w:val="32"/>
          <w:lang w:val="en-US"/>
        </w:rPr>
        <w:lastRenderedPageBreak/>
        <w:t>preliminary step, but part of the optimization problem itself. Generating all such clusters for any large area is computationally unrealizable, which immediately excludes the use of EARM-1, EARM-3 or EARM-4 in their pure form.</w:t>
      </w:r>
      <w:r w:rsidRPr="007032FA">
        <w:rPr>
          <w:lang w:val="en-US"/>
        </w:rPr>
        <w:t xml:space="preserve"> </w:t>
      </w:r>
      <w:r w:rsidRPr="007032FA">
        <w:rPr>
          <w:sz w:val="32"/>
          <w:szCs w:val="32"/>
          <w:lang w:val="en-US"/>
        </w:rPr>
        <w:t>The main value of the work for me is the fundamental idea of ​​representing a forest plot as a graph (G(V, E)). This representation seems to me not just interesting, but practical and extremely desirable for subsequent modeling.</w:t>
      </w:r>
    </w:p>
    <w:sectPr w:rsidR="001B0A44" w:rsidRPr="001B0A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jaVu Sans">
    <w:altName w:val="Verdana"/>
    <w:charset w:val="00"/>
    <w:family w:val="auto"/>
    <w:pitch w:val="variable"/>
  </w:font>
  <w:font w:name="Liberation Serif">
    <w:altName w:val="Times New Roman"/>
    <w:charset w:val="00"/>
    <w:family w:val="roman"/>
    <w:pitch w:val="variable"/>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74BF1"/>
    <w:multiLevelType w:val="multilevel"/>
    <w:tmpl w:val="3EAC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465F83"/>
    <w:multiLevelType w:val="hybridMultilevel"/>
    <w:tmpl w:val="DA382F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8E8"/>
    <w:rsid w:val="001B0A44"/>
    <w:rsid w:val="002F38E8"/>
    <w:rsid w:val="00432669"/>
    <w:rsid w:val="0046676C"/>
    <w:rsid w:val="007032FA"/>
    <w:rsid w:val="00B425AB"/>
    <w:rsid w:val="00CC3B0C"/>
    <w:rsid w:val="00E12B94"/>
    <w:rsid w:val="00E2771E"/>
    <w:rsid w:val="00F963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89C5"/>
  <w15:chartTrackingRefBased/>
  <w15:docId w15:val="{92557BC0-7AB2-41B9-B447-7D3237A9D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B94"/>
    <w:pPr>
      <w:spacing w:after="0" w:line="240" w:lineRule="auto"/>
      <w:ind w:firstLine="709"/>
      <w:jc w:val="both"/>
    </w:pPr>
    <w:rPr>
      <w:rFonts w:ascii="Times New Roman" w:hAnsi="Times New Roman"/>
      <w:sz w:val="24"/>
    </w:rPr>
  </w:style>
  <w:style w:type="paragraph" w:styleId="2">
    <w:name w:val="heading 2"/>
    <w:basedOn w:val="a"/>
    <w:next w:val="a"/>
    <w:link w:val="20"/>
    <w:autoRedefine/>
    <w:uiPriority w:val="9"/>
    <w:unhideWhenUsed/>
    <w:qFormat/>
    <w:rsid w:val="0046676C"/>
    <w:pPr>
      <w:keepNext/>
      <w:keepLines/>
      <w:suppressAutoHyphens/>
      <w:spacing w:after="100" w:afterAutospacing="1" w:line="360" w:lineRule="auto"/>
      <w:outlineLvl w:val="1"/>
    </w:pPr>
    <w:rPr>
      <w:rFonts w:eastAsia="Times New Roman" w:cs="Times New Roman"/>
      <w:b/>
      <w:bCs/>
      <w:color w:val="000000"/>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46676C"/>
    <w:pPr>
      <w:widowControl w:val="0"/>
      <w:suppressAutoHyphens/>
      <w:spacing w:after="0" w:line="240" w:lineRule="auto"/>
      <w:ind w:firstLine="709"/>
      <w:jc w:val="both"/>
    </w:pPr>
    <w:rPr>
      <w:rFonts w:ascii="Times New Roman" w:eastAsia="DejaVu Sans" w:hAnsi="Times New Roman" w:cs="Liberation Serif"/>
      <w:kern w:val="2"/>
      <w:sz w:val="24"/>
      <w:szCs w:val="24"/>
      <w:lang w:eastAsia="ru-RU"/>
    </w:rPr>
  </w:style>
  <w:style w:type="character" w:customStyle="1" w:styleId="20">
    <w:name w:val="Заголовок 2 Знак"/>
    <w:basedOn w:val="a0"/>
    <w:link w:val="2"/>
    <w:uiPriority w:val="9"/>
    <w:rsid w:val="0046676C"/>
    <w:rPr>
      <w:rFonts w:ascii="Times New Roman" w:eastAsia="Times New Roman" w:hAnsi="Times New Roman" w:cs="Times New Roman"/>
      <w:b/>
      <w:bCs/>
      <w:color w:val="000000"/>
      <w:kern w:val="2"/>
    </w:rPr>
  </w:style>
  <w:style w:type="paragraph" w:styleId="a4">
    <w:name w:val="Normal (Web)"/>
    <w:basedOn w:val="a"/>
    <w:uiPriority w:val="99"/>
    <w:semiHidden/>
    <w:unhideWhenUsed/>
    <w:rsid w:val="00B425AB"/>
    <w:pPr>
      <w:spacing w:before="100" w:beforeAutospacing="1" w:after="100" w:afterAutospacing="1"/>
      <w:ind w:firstLine="0"/>
      <w:jc w:val="left"/>
    </w:pPr>
    <w:rPr>
      <w:rFonts w:eastAsia="Times New Roman" w:cs="Times New Roman"/>
      <w:szCs w:val="24"/>
      <w:lang w:eastAsia="ru-RU"/>
    </w:rPr>
  </w:style>
  <w:style w:type="character" w:styleId="a5">
    <w:name w:val="Strong"/>
    <w:basedOn w:val="a0"/>
    <w:uiPriority w:val="22"/>
    <w:qFormat/>
    <w:rsid w:val="00B425AB"/>
    <w:rPr>
      <w:b/>
      <w:bCs/>
    </w:rPr>
  </w:style>
  <w:style w:type="character" w:styleId="a6">
    <w:name w:val="Emphasis"/>
    <w:basedOn w:val="a0"/>
    <w:uiPriority w:val="20"/>
    <w:qFormat/>
    <w:rsid w:val="00B425AB"/>
    <w:rPr>
      <w:i/>
      <w:iCs/>
    </w:rPr>
  </w:style>
  <w:style w:type="paragraph" w:styleId="a7">
    <w:name w:val="List Paragraph"/>
    <w:basedOn w:val="a"/>
    <w:uiPriority w:val="34"/>
    <w:qFormat/>
    <w:rsid w:val="001B0A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2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1457</Words>
  <Characters>8311</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4</cp:revision>
  <dcterms:created xsi:type="dcterms:W3CDTF">2025-09-08T09:39:00Z</dcterms:created>
  <dcterms:modified xsi:type="dcterms:W3CDTF">2025-09-08T10:08:00Z</dcterms:modified>
</cp:coreProperties>
</file>