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ТЕХНІЧНИЙ УНІВЕРСИСТЕТ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ХАРКІВСЬКИЙ ПОЛІТЕХНІЧНИЙ ІНСТИТУТ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програмної інженерії та інтелектуальних технологій управління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ЗВІТ ПРО ВИКОНАННЯ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ДИСЦИПЛІНИ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МОДЕЛІ ТА СТРУКТУРИ ДАНИХ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567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0" w:line="360"/>
        <w:ind w:right="0" w:left="567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</w:t>
      </w:r>
    </w:p>
    <w:p>
      <w:pPr>
        <w:spacing w:before="0" w:after="0" w:line="360"/>
        <w:ind w:right="0" w:left="567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567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ПЕРЕВІРИВ:</w:t>
      </w:r>
    </w:p>
    <w:p>
      <w:pPr>
        <w:spacing w:before="0" w:after="0" w:line="360"/>
        <w:ind w:right="0" w:left="567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Проф. каф. ПІІТУ</w:t>
      </w:r>
    </w:p>
    <w:p>
      <w:pPr>
        <w:spacing w:before="0" w:after="0" w:line="360"/>
        <w:ind w:right="0" w:left="567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Ягуп Катерина Валеріївна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Харків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2022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Тема: Розробка моделей даних сутність-зв’язок і IDEF1X.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Мета: Постановка завдання лабораторного практикуму. Вивчення і аналіз предметної області. Виділення на основі аналізу основних об'єктів бази даних.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Результати виконання лабораторної роботи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1. 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Створення логічної моделі даних у ERWin.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2. 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Створення сутностей і атрибутів.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69" w:dyaOrig="4540">
          <v:rect xmlns:o="urn:schemas-microsoft-com:office:office" xmlns:v="urn:schemas-microsoft-com:vml" id="rectole0000000000" style="width:438.450000pt;height:22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утності з атрибутами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Створення зв’язків всіх типів між сутностями.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25" w:dyaOrig="4624">
          <v:rect xmlns:o="urn:schemas-microsoft-com:office:office" xmlns:v="urn:schemas-microsoft-com:vml" id="rectole0000000001" style="width:431.250000pt;height:23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Ідентифікуючі, неідентифікуючі, ієрархічні та зв’язки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«Many-to-Many»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Створення груп альтернативних ключів в Ind_entrepreneur.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626" w:dyaOrig="5716">
          <v:rect xmlns:o="urn:schemas-microsoft-com:office:office" xmlns:v="urn:schemas-microsoft-com:vml" id="rectole0000000002" style="width:231.300000pt;height:285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object w:dxaOrig="4515" w:dyaOrig="5716">
          <v:rect xmlns:o="urn:schemas-microsoft-com:office:office" xmlns:v="urn:schemas-microsoft-com:vml" id="rectole0000000003" style="width:225.750000pt;height:285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Створення в сутності Ind_entrepreneur альтернативних ключів АК1 та АК2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767" w:dyaOrig="3052">
          <v:rect xmlns:o="urn:schemas-microsoft-com:office:office" xmlns:v="urn:schemas-microsoft-com:vml" id="rectole0000000004" style="width:188.350000pt;height:152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Сутність Ind_entrepreneur зі створеними альтернативними ключами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Встановлення заборони використання значення NULL в неідентифікуючих зв’язках.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308" w:dyaOrig="6408">
          <v:rect xmlns:o="urn:schemas-microsoft-com:office:office" xmlns:v="urn:schemas-microsoft-com:vml" id="rectole0000000005" style="width:265.400000pt;height:320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Редагування властивостей неідентифікуючого зв’язку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23" w:dyaOrig="4265">
          <v:rect xmlns:o="urn:schemas-microsoft-com:office:office" xmlns:v="urn:schemas-microsoft-com:vml" id="rectole0000000006" style="width:416.150000pt;height:213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Зв’язки після зміни властивостей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Коригування категоріальних зв’язків в ієрархії успадкування: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заміна ієрархії успадкування ідентифікуючими зв’язками.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499" w:dyaOrig="3207">
          <v:rect xmlns:o="urn:schemas-microsoft-com:office:office" xmlns:v="urn:schemas-microsoft-com:vml" id="rectole0000000007" style="width:174.950000pt;height:160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заміни ієрархії успадкування ідентифікуючими зв’язками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міграція первинного ключа і неключових атрибутів в ієрархії успадкування від нащадків до предку.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032" w:dyaOrig="2784">
          <v:rect xmlns:o="urn:schemas-microsoft-com:office:office" xmlns:v="urn:schemas-microsoft-com:vml" id="rectole0000000008" style="width:201.600000pt;height:139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міграції первинного ключа і неключових атрибутів в ієрархії успадкування від нащадків до предку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міграція первинного ключа і неключових атрибутів в ієрархії успадкування від предка до нащадків.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169" w:dyaOrig="3553">
          <v:rect xmlns:o="urn:schemas-microsoft-com:office:office" xmlns:v="urn:schemas-microsoft-com:vml" id="rectole0000000009" style="width:258.450000pt;height:177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 міграції первинного ключа і неключових атрибутів в ієрархії успадкування від предка до нащадків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Перехід до фізичної моделі даних.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24" w:dyaOrig="5895">
          <v:rect xmlns:o="urn:schemas-microsoft-com:office:office" xmlns:v="urn:schemas-microsoft-com:vml" id="rectole0000000010" style="width:561.200000pt;height:294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Модель даних у фізичному вигляді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Висновки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результаті виконання даної лабораторної роботи було створено модель даних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Сутність-зв’язок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 містить сутності, атрибути сутностей та зв’язки між сутностями.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