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УНІВЕРСИСТЕТ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МОДЕЛІ ТА СТРУКТУРИ ДАНИХ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каф. ПІІТУ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Ягуп Катерина Валеріївна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вивчення основ роботи з СУБД Access.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нової бази даних у СУБД Access.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5781">
          <v:rect xmlns:o="urn:schemas-microsoft-com:office:office" xmlns:v="urn:schemas-microsoft-com:vml" id="rectole0000000000" style="width:561.200000pt;height:2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Нова база даних у СУБД Access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бази даних відповідно до структури.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95" w:dyaOrig="3161">
          <v:rect xmlns:o="urn:schemas-microsoft-com:office:office" xmlns:v="urn:schemas-microsoft-com:vml" id="rectole0000000001" style="width:239.750000pt;height:15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Suppliers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11" w:dyaOrig="3744">
          <v:rect xmlns:o="urn:schemas-microsoft-com:office:office" xmlns:v="urn:schemas-microsoft-com:vml" id="rectole0000000002" style="width:260.550000pt;height:18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Legal_Entities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70" w:dyaOrig="3609">
          <v:rect xmlns:o="urn:schemas-microsoft-com:office:office" xmlns:v="urn:schemas-microsoft-com:vml" id="rectole0000000003" style="width:263.500000pt;height:18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IndividualEntrepreuners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99" w:dyaOrig="3772">
          <v:rect xmlns:o="urn:schemas-microsoft-com:office:office" xmlns:v="urn:schemas-microsoft-com:vml" id="rectole0000000004" style="width:264.950000pt;height:18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Contracts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16" w:dyaOrig="4000">
          <v:rect xmlns:o="urn:schemas-microsoft-com:office:office" xmlns:v="urn:schemas-microsoft-com:vml" id="rectole0000000005" style="width:280.800000pt;height:20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Supplied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зв’язків між таблицями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Схемі даних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68" w:dyaOrig="4981">
          <v:rect xmlns:o="urn:schemas-microsoft-com:office:office" xmlns:v="urn:schemas-microsoft-com:vml" id="rectole0000000006" style="width:343.400000pt;height:249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даних (зв’язки між таблицями)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забезпечення посилальної цілісності даних у зв’язках між таблицями.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14" w:dyaOrig="3441">
          <v:rect xmlns:o="urn:schemas-microsoft-com:office:office" xmlns:v="urn:schemas-microsoft-com:vml" id="rectole0000000007" style="width:340.700000pt;height:172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Властивості одного зі зв’язків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Заповнення таблиць бази даних відповідними даними.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12" w:dyaOrig="1538">
          <v:rect xmlns:o="urn:schemas-microsoft-com:office:office" xmlns:v="urn:schemas-microsoft-com:vml" id="rectole0000000008" style="width:350.600000pt;height:76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Заповнена таблиця Suppliers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52" w:dyaOrig="1009">
          <v:rect xmlns:o="urn:schemas-microsoft-com:office:office" xmlns:v="urn:schemas-microsoft-com:vml" id="rectole0000000009" style="width:237.600000pt;height:5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Заповнена таблиця LegalEntities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48" w:dyaOrig="1208">
          <v:rect xmlns:o="urn:schemas-microsoft-com:office:office" xmlns:v="urn:schemas-microsoft-com:vml" id="rectole0000000010" style="width:307.400000pt;height:6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Заповнена таблиця IndividualEntrepreneurs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84" w:dyaOrig="2037">
          <v:rect xmlns:o="urn:schemas-microsoft-com:office:office" xmlns:v="urn:schemas-microsoft-com:vml" id="rectole0000000011" style="width:354.200000pt;height:101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Заповнена таблиця Contracts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87" w:dyaOrig="4464">
          <v:rect xmlns:o="urn:schemas-microsoft-com:office:office" xmlns:v="urn:schemas-microsoft-com:vml" id="rectole0000000012" style="width:209.350000pt;height:223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Заповнена таблиця Supplied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механізму забезпечення цілісності посилань шляхом модифікації даних у зв’язаних таблицях.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14" w:dyaOrig="2736">
          <v:rect xmlns:o="urn:schemas-microsoft-com:office:office" xmlns:v="urn:schemas-microsoft-com:vml" id="rectole0000000013" style="width:475.700000pt;height:136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у таблиці Contracts значення стовпчика ContractNumber з 1 на 10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81" w:dyaOrig="7387">
          <v:rect xmlns:o="urn:schemas-microsoft-com:office:office" xmlns:v="urn:schemas-microsoft-com:vml" id="rectole0000000014" style="width:244.050000pt;height:369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Змінені відповідні рядки у таблиці Supplied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виконання даної лабораторної роботи на основі таблиць було створено базу даних у СУБД Access, яка місить вказані заповнені таблиці.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