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F584" w14:textId="6BE809BA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4E4B39">
        <w:rPr>
          <w:rFonts w:ascii="Times New Roman" w:hAnsi="Times New Roman" w:cs="Times New Roman"/>
          <w:b/>
          <w:bCs/>
          <w:color w:val="000000"/>
          <w:lang w:val="en-US"/>
        </w:rPr>
        <w:t xml:space="preserve">ResolveIQ 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b/>
          <w:bCs/>
          <w:color w:val="000000"/>
          <w:lang w:val="en-US"/>
        </w:rPr>
        <w:t xml:space="preserve"> AI Production Support Copilot</w:t>
      </w:r>
    </w:p>
    <w:p w14:paraId="394AF89B" w14:textId="77777777" w:rsid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4CEB0067" w14:textId="49534D4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ResolveIQ is a local-first incident management tool built for production support teams. The problem it solves is straightforward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when a customer reports a production issue, the support engineer has to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manually piece together what went wrong, assess severity, figure out next steps, draft a customer response, and document everything. That process is slow and inconsistent. ResolveIQ automates the entire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pipeline while keeping a human in control of every decision.</w:t>
      </w:r>
    </w:p>
    <w:p w14:paraId="6E7B552B" w14:textId="7777777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  </w:t>
      </w:r>
    </w:p>
    <w:p w14:paraId="09B09063" w14:textId="7775B440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>How it works: A support engineer creates a case by entering the title, customer name, affected service, environment, priority level, the reported issue, and any logs or error messages. The moment the case is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submitted, three things happen automatically. First, the case is sent to a local Ollama model for AI analysis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nothing leaves the machine. Second, if Jira is configured, a tracking ticket is created in the</w:t>
      </w:r>
    </w:p>
    <w:p w14:paraId="36F71D6F" w14:textId="5B83198D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>Jira project with the correct priority mapping. Third, the engineer sees the case appear with a pulse animation, and within seconds the analysis populates live without any page reload. The model returns a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structured diagnosis: an incident summary, customer impact assessment, probable root cause, suggested severity, diagnostic steps, a temporary workaround, and a full customer-facing email draft with subject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line and body.</w:t>
      </w:r>
    </w:p>
    <w:p w14:paraId="4130FF9E" w14:textId="7777777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768554D0" w14:textId="3964FD89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>Jira integration is bidirectional. Cases created locally auto-push to Jira as tracking tickets. Tickets created directly in Jira can be pulled into ResolveIQ with the "Sync Jira" button, which shows a pending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count badge that auto-refreshes every three </w:t>
      </w:r>
      <w:r w:rsidRPr="004E4B39">
        <w:rPr>
          <w:rFonts w:ascii="Times New Roman" w:hAnsi="Times New Roman" w:cs="Times New Roman"/>
          <w:color w:val="000000"/>
          <w:lang w:val="en-US"/>
        </w:rPr>
        <w:t>minutes,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so the engineer always knows when new tickets are waiting. Imported tickets carry their Jira priority mapped to the correct ResolveIQ severity </w:t>
      </w:r>
      <w:r>
        <w:rPr>
          <w:rFonts w:ascii="Times New Roman" w:hAnsi="Times New Roman" w:cs="Times New Roman"/>
          <w:color w:val="000000"/>
          <w:lang w:val="en-US"/>
        </w:rPr>
        <w:t>–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Highest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becomes critical, High stays high, and so on. Every imported ticket also auto-analyzes in the background, arriving ready for review. Messages posted in ResolveIQ sync as Jira comments, and comments added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directly in Jira appear in ResolveIQ's message thread. When a case is resolved, the linked Jira ticket automatically transitions to Done. Each case card in the sidebar links directly to its Jira ticket for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quick navigation.</w:t>
      </w:r>
    </w:p>
    <w:p w14:paraId="74139636" w14:textId="7777777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25C8D528" w14:textId="3368FDD0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The approval gate is the core design principle. The AI output lands in a </w:t>
      </w:r>
      <w:r>
        <w:rPr>
          <w:rFonts w:ascii="Times New Roman" w:hAnsi="Times New Roman" w:cs="Times New Roman"/>
          <w:color w:val="000000"/>
          <w:lang w:val="en-US"/>
        </w:rPr>
        <w:t>“</w:t>
      </w:r>
      <w:r w:rsidRPr="004E4B39">
        <w:rPr>
          <w:rFonts w:ascii="Times New Roman" w:hAnsi="Times New Roman" w:cs="Times New Roman"/>
          <w:color w:val="000000"/>
          <w:lang w:val="en-US"/>
        </w:rPr>
        <w:t>pending review</w:t>
      </w:r>
      <w:r>
        <w:rPr>
          <w:rFonts w:ascii="Times New Roman" w:hAnsi="Times New Roman" w:cs="Times New Roman"/>
          <w:color w:val="000000"/>
          <w:lang w:val="en-US"/>
        </w:rPr>
        <w:t>”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state. The engineer can edit any field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change the severity, rewrite the customer email, adjust the root cause.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Nothing happens externally until they explicitly click approve. This matters because in real support operations, you never want AI-generated content going to customers or into ticketing systems without a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human verifying it first.</w:t>
      </w:r>
    </w:p>
    <w:p w14:paraId="24A632C7" w14:textId="7777777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  </w:t>
      </w:r>
    </w:p>
    <w:p w14:paraId="155F5517" w14:textId="6BF2B055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>After approval, the engineer can create a Gmail draft of the customer update email. This integration is optional and only activates when credentials are configured, with duplicate protection built in so you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cannot accidentally create a second draft.</w:t>
      </w:r>
    </w:p>
    <w:p w14:paraId="60CF2EBF" w14:textId="77777777" w:rsid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01E4C4EF" w14:textId="030AE310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>Real-time messaging enables collaboration directly on cases. Each case has a message thread that supports internal notes between team members and customer-facing messages. Messages are delivered instantly via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WebSocket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no polling or page refresh needed. When messages arrive on a case the engineer is not currently viewing, an unread badge appears on that case's sidebar card showing the count of new messages.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Clicking into the case marks them as read. All messages sync bidirectionally with Jira comments, so conversations stay visible in both systems.</w:t>
      </w:r>
    </w:p>
    <w:p w14:paraId="4063C1F7" w14:textId="7777777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  </w:t>
      </w:r>
    </w:p>
    <w:p w14:paraId="39723D6C" w14:textId="77843785" w:rsid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SLA tracking runs throughout the lifecycle. When a case is created, it gets response and resolution deadlines based on the selected priority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critical cases get 15 minutes for first response and 4 hours for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resolution, while low-severity cases get 8 hours and 72 hours respectively. The dashboard shows which cases are on track, at risk, or breached. When open cases breach their SLA, a red alert banner appears at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the top of the dashboard calling out the count and urging immediate attention. An amber banner appears </w:t>
      </w:r>
      <w:r w:rsidRPr="004E4B39">
        <w:rPr>
          <w:rFonts w:ascii="Times New Roman" w:hAnsi="Times New Roman" w:cs="Times New Roman"/>
          <w:color w:val="000000"/>
          <w:lang w:val="en-US"/>
        </w:rPr>
        <w:lastRenderedPageBreak/>
        <w:t>when cases are approaching their deadline. The engineer can record a customer acknowledgement to mark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that the initial response SLA was met.</w:t>
      </w:r>
    </w:p>
    <w:p w14:paraId="61C6B758" w14:textId="5445D6F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Resolution and the knowledge base </w:t>
      </w:r>
      <w:proofErr w:type="gramStart"/>
      <w:r w:rsidRPr="004E4B39">
        <w:rPr>
          <w:rFonts w:ascii="Times New Roman" w:hAnsi="Times New Roman" w:cs="Times New Roman"/>
          <w:color w:val="000000"/>
          <w:lang w:val="en-US"/>
        </w:rPr>
        <w:t>is</w:t>
      </w:r>
      <w:proofErr w:type="gramEnd"/>
      <w:r w:rsidRPr="004E4B39">
        <w:rPr>
          <w:rFonts w:ascii="Times New Roman" w:hAnsi="Times New Roman" w:cs="Times New Roman"/>
          <w:color w:val="000000"/>
          <w:lang w:val="en-US"/>
        </w:rPr>
        <w:t xml:space="preserve"> where automation compounds. When the engineer resolves a case, they document what fixed it and any preventive actions. The system generates a post-incident report from the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approved analysis and the resolution record. Three things then happen automatically: the resolution is indexed into a local semantic memory using vector embeddings, the linked Jira ticket transitions to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Done, and if similar resolved cases exist in the knowledge base, a runbook is </w:t>
      </w:r>
      <w:proofErr w:type="gramStart"/>
      <w:r w:rsidRPr="004E4B39">
        <w:rPr>
          <w:rFonts w:ascii="Times New Roman" w:hAnsi="Times New Roman" w:cs="Times New Roman"/>
          <w:color w:val="000000"/>
          <w:lang w:val="en-US"/>
        </w:rPr>
        <w:t>auto-generated</w:t>
      </w:r>
      <w:proofErr w:type="gramEnd"/>
      <w:r w:rsidRPr="004E4B39">
        <w:rPr>
          <w:rFonts w:ascii="Times New Roman" w:hAnsi="Times New Roman" w:cs="Times New Roman"/>
          <w:color w:val="000000"/>
          <w:lang w:val="en-US"/>
        </w:rPr>
        <w:t xml:space="preserve"> in the background. The runbook contains specific verification steps and mitigation actions grounded in what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actually worked before, not generic advice. The next time a similar incident comes in, the "Similar resolved incidents" section surfaces matching prior resolutions with their match scores, resolution details,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and preventive actions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giving the engineer an evidence-based starting point before they even begin investigating.</w:t>
      </w:r>
    </w:p>
    <w:p w14:paraId="1F74A4BB" w14:textId="7777777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22D00206" w14:textId="697B7D23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>On the operations side, there is a dashboard with real-time counts of open, urgent, at-risk, breached, and resolved cases. An insights page shows service hotspots ranked by case volume and breach rate,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recurring problem groups across resolved incidents sharing the same root cause, and a full audit trail. Every action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login, case creation, analysis, approval, resolution, indexing, message, Jira sync,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runbook generation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is logged with the actor and timestamp. Incident reports can be downloaded as Markdown files.</w:t>
      </w:r>
    </w:p>
    <w:p w14:paraId="20EA67E3" w14:textId="7777777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  </w:t>
      </w:r>
    </w:p>
    <w:p w14:paraId="5A10B4A1" w14:textId="62CA7C01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>The tech stack: React and TypeScript frontend built with Vite, FastAPI and Python backend, SQLite for all storage including messages, user preferences, and audit history, WebSockets for real-time message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delivery, Ollama running llama3.2:3b for analysis and nomic-embed-text for embeddings. Authentication uses HTTP-only session cookies with configurable expiry. Jira Cloud integration uses the REST API v3 with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basic auth. The entire application runs on a single machine with zero paid external dependencies 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4E4B39">
        <w:rPr>
          <w:rFonts w:ascii="Times New Roman" w:hAnsi="Times New Roman" w:cs="Times New Roman"/>
          <w:color w:val="000000"/>
          <w:lang w:val="en-US"/>
        </w:rPr>
        <w:t xml:space="preserve"> Jira Cloud free tier covers up to ten users, and everything else is local.</w:t>
      </w:r>
    </w:p>
    <w:p w14:paraId="4DEE587B" w14:textId="77777777" w:rsidR="004E4B39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 xml:space="preserve">  </w:t>
      </w:r>
    </w:p>
    <w:p w14:paraId="00000013" w14:textId="66ECB7E8" w:rsidR="00557A72" w:rsidRPr="004E4B39" w:rsidRDefault="004E4B39" w:rsidP="004E4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4E4B39">
        <w:rPr>
          <w:rFonts w:ascii="Times New Roman" w:hAnsi="Times New Roman" w:cs="Times New Roman"/>
          <w:color w:val="000000"/>
          <w:lang w:val="en-US"/>
        </w:rPr>
        <w:t>The workflow in one line: Intake, auto-analyze, auto-sync to Jira, review, approve, collaborate via messages, resolve, auto-index, auto-runbook, reuse. Every step enforces that the previous step was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4E4B39">
        <w:rPr>
          <w:rFonts w:ascii="Times New Roman" w:hAnsi="Times New Roman" w:cs="Times New Roman"/>
          <w:color w:val="000000"/>
          <w:lang w:val="en-US"/>
        </w:rPr>
        <w:t>completed, automation handles the repetitive work, and nothing customer-facing happens without explicit human approval.</w:t>
      </w:r>
    </w:p>
    <w:sectPr w:rsidR="00557A72" w:rsidRPr="004E4B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34B19E4-F5EC-E546-9641-2FB368E27141}"/>
    <w:embedBold r:id="rId2" w:fontKey="{6B2212C7-B5AF-7B41-85FE-1F87B6AF4289}"/>
    <w:embedItalic r:id="rId3" w:fontKey="{63821743-5662-5041-A453-0D8DC7BEA5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FED7DD8-D9F5-B549-A38D-00C7BED68CA3}"/>
    <w:embedBold r:id="rId5" w:fontKey="{69B89F16-C230-BD4E-A4AD-B38A431902F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0533F69-3966-9A48-9619-1F0A5DFB0E00}"/>
  </w:font>
  <w:font w:name="Cambria">
    <w:panose1 w:val="02040503050406030204"/>
    <w:charset w:val="00"/>
    <w:family w:val="roman"/>
    <w:notTrueType/>
    <w:pitch w:val="default"/>
    <w:embedRegular r:id="rId7" w:fontKey="{C85340E8-F54A-4143-841D-E7F048CB3A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A72"/>
    <w:rsid w:val="004E4B39"/>
    <w:rsid w:val="00557A72"/>
    <w:rsid w:val="00EE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29F6F"/>
  <w15:docId w15:val="{DDC762CA-F60D-0049-BEAF-674B727D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Gunturu, Phaneendra Babu</cp:lastModifiedBy>
  <cp:revision>2</cp:revision>
  <dcterms:created xsi:type="dcterms:W3CDTF">2026-05-30T03:41:00Z</dcterms:created>
  <dcterms:modified xsi:type="dcterms:W3CDTF">2026-05-30T03:45:00Z</dcterms:modified>
</cp:coreProperties>
</file>