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4939DB" w:rsidRPr="004939DB" w:rsidRDefault="004939DB" w:rsidP="004939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939DB">
        <w:rPr>
          <w:rFonts w:ascii="Times New Roman" w:eastAsia="Times New Roman" w:hAnsi="Times New Roman" w:cs="Times New Roman"/>
          <w:b/>
          <w:bCs/>
          <w:kern w:val="36"/>
          <w:sz w:val="48"/>
          <w:szCs w:val="48"/>
          <w:lang w:eastAsia="en-IN"/>
          <w14:ligatures w14:val="none"/>
        </w:rPr>
        <w:t>Taxation, Audit &amp; Accounting Services</w:t>
      </w:r>
    </w:p>
    <w:p w:rsidR="004939DB" w:rsidRPr="004939DB" w:rsidRDefault="004939DB" w:rsidP="004939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939DB">
        <w:rPr>
          <w:rFonts w:ascii="Times New Roman" w:eastAsia="Times New Roman" w:hAnsi="Times New Roman" w:cs="Times New Roman"/>
          <w:b/>
          <w:bCs/>
          <w:kern w:val="0"/>
          <w:sz w:val="27"/>
          <w:szCs w:val="27"/>
          <w:lang w:eastAsia="en-IN"/>
          <w14:ligatures w14:val="none"/>
        </w:rPr>
        <w:t>Ensuring Financial Transparency, Regulatory Compliance &amp; Sound Financial Management</w:t>
      </w:r>
    </w:p>
    <w:p w:rsidR="004939DB" w:rsidRPr="004939DB" w:rsidRDefault="004939DB" w:rsidP="004939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Proper accounting, timely tax compliance, accurate record maintenance, and periodic financial reviews help societies maintain transparency, strengthen internal controls, and meet statutory obligations.</w:t>
      </w:r>
    </w:p>
    <w:p w:rsidR="004939DB" w:rsidRPr="004939DB" w:rsidRDefault="004939DB" w:rsidP="004939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At ConsultAvenuee, we provide comprehensive Taxation, Audit &amp; Accounting Services to support Managing Committees and Office Bearers in managing the society's financial affairs efficiently while ensuring compliance with applicable tax laws and regulatory requirements.</w:t>
      </w:r>
    </w:p>
    <w:p w:rsidR="004939DB" w:rsidRPr="004939DB" w:rsidRDefault="004939DB" w:rsidP="004939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939DB">
        <w:rPr>
          <w:rFonts w:ascii="Times New Roman" w:eastAsia="Times New Roman" w:hAnsi="Times New Roman" w:cs="Times New Roman"/>
          <w:b/>
          <w:bCs/>
          <w:kern w:val="0"/>
          <w:sz w:val="36"/>
          <w:szCs w:val="36"/>
          <w:lang w:eastAsia="en-IN"/>
          <w14:ligatures w14:val="none"/>
        </w:rPr>
        <w:t>GST Compliance Services</w:t>
      </w:r>
    </w:p>
    <w:p w:rsidR="004939DB" w:rsidRPr="004939DB" w:rsidRDefault="004939DB" w:rsidP="004939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Housing societies may be required to comply with GST regulations based on the nature and quantum of collections and services provided. Our GST compliance services help societies remain compliant while minimizing regulatory risks.</w:t>
      </w:r>
    </w:p>
    <w:p w:rsidR="004939DB" w:rsidRPr="004939DB" w:rsidRDefault="004939DB" w:rsidP="004939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939DB">
        <w:rPr>
          <w:rFonts w:ascii="Times New Roman" w:eastAsia="Times New Roman" w:hAnsi="Times New Roman" w:cs="Times New Roman"/>
          <w:b/>
          <w:bCs/>
          <w:kern w:val="0"/>
          <w:sz w:val="27"/>
          <w:szCs w:val="27"/>
          <w:lang w:eastAsia="en-IN"/>
          <w14:ligatures w14:val="none"/>
        </w:rPr>
        <w:t>Our Services Include:</w:t>
      </w:r>
    </w:p>
    <w:p w:rsidR="004939DB" w:rsidRPr="004939DB" w:rsidRDefault="004939DB" w:rsidP="004939D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GST Registration</w:t>
      </w:r>
    </w:p>
    <w:p w:rsidR="004939DB" w:rsidRPr="004939DB" w:rsidRDefault="004939DB" w:rsidP="004939D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Monthly GST Return Filing</w:t>
      </w:r>
    </w:p>
    <w:p w:rsidR="004939DB" w:rsidRPr="004939DB" w:rsidRDefault="004939DB" w:rsidP="004939D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Quarterly GST Return Filing</w:t>
      </w:r>
    </w:p>
    <w:p w:rsidR="004939DB" w:rsidRPr="004939DB" w:rsidRDefault="004939DB" w:rsidP="004939D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Annual GST Return Filing</w:t>
      </w:r>
    </w:p>
    <w:p w:rsidR="004939DB" w:rsidRPr="004939DB" w:rsidRDefault="004939DB" w:rsidP="004939D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GST Liability Review</w:t>
      </w:r>
    </w:p>
    <w:p w:rsidR="004939DB" w:rsidRPr="004939DB" w:rsidRDefault="004939DB" w:rsidP="004939D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GST Advisory &amp; Consultation</w:t>
      </w:r>
    </w:p>
    <w:p w:rsidR="004939DB" w:rsidRPr="004939DB" w:rsidRDefault="004939DB" w:rsidP="004939D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GST Notice &amp; Assessment Support</w:t>
      </w:r>
    </w:p>
    <w:p w:rsidR="004939DB" w:rsidRPr="004939DB" w:rsidRDefault="004939DB" w:rsidP="004939D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GST Reconciliation &amp; Compliance Review</w:t>
      </w:r>
    </w:p>
    <w:p w:rsidR="004939DB" w:rsidRPr="004939DB" w:rsidRDefault="004939DB" w:rsidP="004939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939DB">
        <w:rPr>
          <w:rFonts w:ascii="Times New Roman" w:eastAsia="Times New Roman" w:hAnsi="Times New Roman" w:cs="Times New Roman"/>
          <w:b/>
          <w:bCs/>
          <w:kern w:val="0"/>
          <w:sz w:val="36"/>
          <w:szCs w:val="36"/>
          <w:lang w:eastAsia="en-IN"/>
          <w14:ligatures w14:val="none"/>
        </w:rPr>
        <w:t>TDS Compliance Services</w:t>
      </w:r>
    </w:p>
    <w:p w:rsidR="004939DB" w:rsidRPr="004939DB" w:rsidRDefault="004939DB" w:rsidP="004939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Societies are often required to deduct and deposit Tax Deducted at Source (TDS) on payments made to contractors, professionals, vendors, and service providers. Proper TDS compliance is essential to avoid penalties and interest liabilities.</w:t>
      </w:r>
    </w:p>
    <w:p w:rsidR="004939DB" w:rsidRPr="004939DB" w:rsidRDefault="004939DB" w:rsidP="004939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939DB">
        <w:rPr>
          <w:rFonts w:ascii="Times New Roman" w:eastAsia="Times New Roman" w:hAnsi="Times New Roman" w:cs="Times New Roman"/>
          <w:b/>
          <w:bCs/>
          <w:kern w:val="0"/>
          <w:sz w:val="27"/>
          <w:szCs w:val="27"/>
          <w:lang w:eastAsia="en-IN"/>
          <w14:ligatures w14:val="none"/>
        </w:rPr>
        <w:t>Our Services Include:</w:t>
      </w:r>
    </w:p>
    <w:p w:rsidR="004939DB" w:rsidRPr="004939DB" w:rsidRDefault="004939DB" w:rsidP="004939D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TAN Registration</w:t>
      </w:r>
    </w:p>
    <w:p w:rsidR="004939DB" w:rsidRPr="004939DB" w:rsidRDefault="004939DB" w:rsidP="004939D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TDS Applicability Review</w:t>
      </w:r>
    </w:p>
    <w:p w:rsidR="004939DB" w:rsidRPr="004939DB" w:rsidRDefault="004939DB" w:rsidP="004939D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TDS Deduction Compliance</w:t>
      </w:r>
    </w:p>
    <w:p w:rsidR="004939DB" w:rsidRPr="004939DB" w:rsidRDefault="004939DB" w:rsidP="004939D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Quarterly TDS Return Filing</w:t>
      </w:r>
    </w:p>
    <w:p w:rsidR="004939DB" w:rsidRPr="004939DB" w:rsidRDefault="004939DB" w:rsidP="004939D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TDS Reconciliation</w:t>
      </w:r>
    </w:p>
    <w:p w:rsidR="004939DB" w:rsidRPr="004939DB" w:rsidRDefault="004939DB" w:rsidP="004939D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TDS Certificate (Form 16A) Generation</w:t>
      </w:r>
    </w:p>
    <w:p w:rsidR="004939DB" w:rsidRPr="004939DB" w:rsidRDefault="004939DB" w:rsidP="004939D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Vendor Compliance Support</w:t>
      </w:r>
    </w:p>
    <w:p w:rsidR="004939DB" w:rsidRPr="004939DB" w:rsidRDefault="004939DB" w:rsidP="004939D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TDS Notice Assistance</w:t>
      </w:r>
    </w:p>
    <w:p w:rsidR="004939DB" w:rsidRPr="004939DB" w:rsidRDefault="004939DB" w:rsidP="004939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939DB">
        <w:rPr>
          <w:rFonts w:ascii="Times New Roman" w:eastAsia="Times New Roman" w:hAnsi="Times New Roman" w:cs="Times New Roman"/>
          <w:b/>
          <w:bCs/>
          <w:kern w:val="0"/>
          <w:sz w:val="36"/>
          <w:szCs w:val="36"/>
          <w:lang w:eastAsia="en-IN"/>
          <w14:ligatures w14:val="none"/>
        </w:rPr>
        <w:lastRenderedPageBreak/>
        <w:t>Income Tax Compliance Services</w:t>
      </w:r>
    </w:p>
    <w:p w:rsidR="004939DB" w:rsidRPr="004939DB" w:rsidRDefault="004939DB" w:rsidP="004939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Although Cooperative Housing Societies operate on a mutuality basis for many activities, they are still required to comply with Income Tax provisions applicable to society income.</w:t>
      </w:r>
    </w:p>
    <w:p w:rsidR="004939DB" w:rsidRPr="004939DB" w:rsidRDefault="004939DB" w:rsidP="004939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939DB">
        <w:rPr>
          <w:rFonts w:ascii="Times New Roman" w:eastAsia="Times New Roman" w:hAnsi="Times New Roman" w:cs="Times New Roman"/>
          <w:b/>
          <w:bCs/>
          <w:kern w:val="0"/>
          <w:sz w:val="27"/>
          <w:szCs w:val="27"/>
          <w:lang w:eastAsia="en-IN"/>
          <w14:ligatures w14:val="none"/>
        </w:rPr>
        <w:t>Our Services Include:</w:t>
      </w:r>
    </w:p>
    <w:p w:rsidR="004939DB" w:rsidRPr="004939DB" w:rsidRDefault="004939DB" w:rsidP="004939D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Income Tax Return Filing</w:t>
      </w:r>
    </w:p>
    <w:p w:rsidR="004939DB" w:rsidRPr="004939DB" w:rsidRDefault="004939DB" w:rsidP="004939D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Tax Notice Assistance</w:t>
      </w:r>
    </w:p>
    <w:p w:rsidR="004939DB" w:rsidRPr="004939DB" w:rsidRDefault="004939DB" w:rsidP="004939D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Response to Departmental Queries</w:t>
      </w:r>
    </w:p>
    <w:p w:rsidR="004939DB" w:rsidRPr="004939DB" w:rsidRDefault="004939DB" w:rsidP="004939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939DB">
        <w:rPr>
          <w:rFonts w:ascii="Times New Roman" w:eastAsia="Times New Roman" w:hAnsi="Times New Roman" w:cs="Times New Roman"/>
          <w:b/>
          <w:bCs/>
          <w:kern w:val="0"/>
          <w:sz w:val="36"/>
          <w:szCs w:val="36"/>
          <w:lang w:eastAsia="en-IN"/>
          <w14:ligatures w14:val="none"/>
        </w:rPr>
        <w:t>Internal Audit &amp; Book Review Services</w:t>
      </w:r>
    </w:p>
    <w:p w:rsidR="004939DB" w:rsidRPr="004939DB" w:rsidRDefault="004939DB" w:rsidP="004939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Periodic review of financial records helps societies identify accounting discrepancies, strengthen controls, improve governance, and ensure financial accountability.</w:t>
      </w:r>
    </w:p>
    <w:p w:rsidR="004939DB" w:rsidRPr="004939DB" w:rsidRDefault="004939DB" w:rsidP="004939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939DB">
        <w:rPr>
          <w:rFonts w:ascii="Times New Roman" w:eastAsia="Times New Roman" w:hAnsi="Times New Roman" w:cs="Times New Roman"/>
          <w:b/>
          <w:bCs/>
          <w:kern w:val="0"/>
          <w:sz w:val="27"/>
          <w:szCs w:val="27"/>
          <w:lang w:eastAsia="en-IN"/>
          <w14:ligatures w14:val="none"/>
        </w:rPr>
        <w:t>Our Services Include:</w:t>
      </w:r>
    </w:p>
    <w:p w:rsidR="004939DB" w:rsidRPr="004939DB" w:rsidRDefault="004939DB" w:rsidP="004939D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Internal Audit of Society Accounts</w:t>
      </w:r>
    </w:p>
    <w:p w:rsidR="004939DB" w:rsidRPr="004939DB" w:rsidRDefault="004939DB" w:rsidP="004939D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Verification of Accounting Records</w:t>
      </w:r>
    </w:p>
    <w:p w:rsidR="004939DB" w:rsidRPr="004939DB" w:rsidRDefault="004939DB" w:rsidP="004939D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Ledger Scrutiny &amp; Analysis</w:t>
      </w:r>
    </w:p>
    <w:p w:rsidR="004939DB" w:rsidRPr="004939DB" w:rsidRDefault="004939DB" w:rsidP="004939D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Expense Verification</w:t>
      </w:r>
    </w:p>
    <w:p w:rsidR="004939DB" w:rsidRPr="004939DB" w:rsidRDefault="004939DB" w:rsidP="004939D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Maintenance Collection Review</w:t>
      </w:r>
    </w:p>
    <w:p w:rsidR="004939DB" w:rsidRPr="004939DB" w:rsidRDefault="004939DB" w:rsidP="004939D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Bank Reconciliation Review</w:t>
      </w:r>
    </w:p>
    <w:p w:rsidR="004939DB" w:rsidRPr="004939DB" w:rsidRDefault="004939DB" w:rsidP="004939D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Vendor Payment Verification</w:t>
      </w:r>
    </w:p>
    <w:p w:rsidR="004939DB" w:rsidRPr="004939DB" w:rsidRDefault="004939DB" w:rsidP="004939D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Statutory Compliance Review</w:t>
      </w:r>
    </w:p>
    <w:p w:rsidR="004939DB" w:rsidRPr="004939DB" w:rsidRDefault="004939DB" w:rsidP="004939D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Financial Process Evaluation</w:t>
      </w:r>
    </w:p>
    <w:p w:rsidR="004939DB" w:rsidRPr="004939DB" w:rsidRDefault="004939DB" w:rsidP="004939D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Recommendations for Improvement</w:t>
      </w:r>
    </w:p>
    <w:p w:rsidR="004939DB" w:rsidRPr="004939DB" w:rsidRDefault="004939DB" w:rsidP="004939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939DB">
        <w:rPr>
          <w:rFonts w:ascii="Times New Roman" w:eastAsia="Times New Roman" w:hAnsi="Times New Roman" w:cs="Times New Roman"/>
          <w:b/>
          <w:bCs/>
          <w:kern w:val="0"/>
          <w:sz w:val="36"/>
          <w:szCs w:val="36"/>
          <w:lang w:eastAsia="en-IN"/>
          <w14:ligatures w14:val="none"/>
        </w:rPr>
        <w:t>Monthly Accounting Review &amp; Monitoring</w:t>
      </w:r>
    </w:p>
    <w:p w:rsidR="004939DB" w:rsidRPr="004939DB" w:rsidRDefault="004939DB" w:rsidP="004939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Regular monitoring of society accounts helps Managing Committees maintain financial discipline and identify issues before they become significant concerns.</w:t>
      </w:r>
    </w:p>
    <w:p w:rsidR="004939DB" w:rsidRPr="004939DB" w:rsidRDefault="004939DB" w:rsidP="004939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939DB">
        <w:rPr>
          <w:rFonts w:ascii="Times New Roman" w:eastAsia="Times New Roman" w:hAnsi="Times New Roman" w:cs="Times New Roman"/>
          <w:b/>
          <w:bCs/>
          <w:kern w:val="0"/>
          <w:sz w:val="27"/>
          <w:szCs w:val="27"/>
          <w:lang w:eastAsia="en-IN"/>
          <w14:ligatures w14:val="none"/>
        </w:rPr>
        <w:t>Our Services Include:</w:t>
      </w:r>
    </w:p>
    <w:p w:rsidR="004939DB" w:rsidRPr="004939DB" w:rsidRDefault="004939DB" w:rsidP="004939D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Monthly Account Review</w:t>
      </w:r>
    </w:p>
    <w:p w:rsidR="004939DB" w:rsidRPr="004939DB" w:rsidRDefault="004939DB" w:rsidP="004939D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Financial Health Check</w:t>
      </w:r>
    </w:p>
    <w:p w:rsidR="004939DB" w:rsidRPr="004939DB" w:rsidRDefault="004939DB" w:rsidP="004939D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Collection Monitoring</w:t>
      </w:r>
    </w:p>
    <w:p w:rsidR="004939DB" w:rsidRPr="004939DB" w:rsidRDefault="004939DB" w:rsidP="004939D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Expense Analysis</w:t>
      </w:r>
    </w:p>
    <w:p w:rsidR="004939DB" w:rsidRPr="004939DB" w:rsidRDefault="004939DB" w:rsidP="004939D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Budget Variance Review</w:t>
      </w:r>
    </w:p>
    <w:p w:rsidR="004939DB" w:rsidRPr="004939DB" w:rsidRDefault="004939DB" w:rsidP="004939D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Outstanding Dues Review</w:t>
      </w:r>
    </w:p>
    <w:p w:rsidR="004939DB" w:rsidRPr="004939DB" w:rsidRDefault="004939DB" w:rsidP="004939D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Fund Utilization Review</w:t>
      </w:r>
    </w:p>
    <w:p w:rsidR="004939DB" w:rsidRPr="004939DB" w:rsidRDefault="004939DB" w:rsidP="004939D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Compliance Monitoring</w:t>
      </w:r>
    </w:p>
    <w:p w:rsidR="004939DB" w:rsidRPr="004939DB" w:rsidRDefault="004939DB" w:rsidP="004939D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939DB">
        <w:rPr>
          <w:rFonts w:ascii="Times New Roman" w:eastAsia="Times New Roman" w:hAnsi="Times New Roman" w:cs="Times New Roman"/>
          <w:kern w:val="0"/>
          <w:sz w:val="24"/>
          <w:szCs w:val="24"/>
          <w:lang w:eastAsia="en-IN"/>
          <w14:ligatures w14:val="none"/>
        </w:rPr>
        <w:t>Our objective is to help Cooperative Housing Societies maintain accurate financial records, achieve full tax compliance, strengthen financial governance, and create confidence among members through transparent and accountable financial management.</w:t>
      </w:r>
    </w:p>
    <w:p w:rsidR="00E60060" w:rsidRPr="00E60060" w:rsidRDefault="00E60060" w:rsidP="00E600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60060">
        <w:rPr>
          <w:rFonts w:ascii="Times New Roman" w:eastAsia="Times New Roman" w:hAnsi="Times New Roman" w:cs="Times New Roman"/>
          <w:b/>
          <w:bCs/>
          <w:kern w:val="36"/>
          <w:sz w:val="48"/>
          <w:szCs w:val="48"/>
          <w:lang w:eastAsia="en-IN"/>
          <w14:ligatures w14:val="none"/>
        </w:rPr>
        <w:lastRenderedPageBreak/>
        <w:t>Frequently Asked Questions (FAQs)</w:t>
      </w:r>
    </w:p>
    <w:p w:rsidR="00E60060" w:rsidRPr="00E60060" w:rsidRDefault="00E60060" w:rsidP="00E600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w:t>
      </w:r>
      <w:r w:rsidRPr="00E60060">
        <w:rPr>
          <w:rFonts w:ascii="Times New Roman" w:eastAsia="Times New Roman" w:hAnsi="Times New Roman" w:cs="Times New Roman"/>
          <w:b/>
          <w:bCs/>
          <w:kern w:val="0"/>
          <w:sz w:val="27"/>
          <w:szCs w:val="27"/>
          <w:lang w:eastAsia="en-IN"/>
          <w14:ligatures w14:val="none"/>
        </w:rPr>
        <w:t>. When is GST registration required for a housing society?</w:t>
      </w:r>
    </w:p>
    <w:p w:rsidR="00E60060" w:rsidRPr="00E60060" w:rsidRDefault="00E60060" w:rsidP="00E600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0060">
        <w:rPr>
          <w:rFonts w:ascii="Times New Roman" w:eastAsia="Times New Roman" w:hAnsi="Times New Roman" w:cs="Times New Roman"/>
          <w:kern w:val="0"/>
          <w:sz w:val="24"/>
          <w:szCs w:val="24"/>
          <w:lang w:eastAsia="en-IN"/>
          <w14:ligatures w14:val="none"/>
        </w:rPr>
        <w:t>GST registration may become necessary when the society meets the prescribed conditions under GST laws. A compliance review can help determine registration requirements.</w:t>
      </w:r>
    </w:p>
    <w:p w:rsidR="00E60060" w:rsidRPr="00E60060" w:rsidRDefault="00E60060" w:rsidP="00E600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w:t>
      </w:r>
      <w:r w:rsidRPr="00E60060">
        <w:rPr>
          <w:rFonts w:ascii="Times New Roman" w:eastAsia="Times New Roman" w:hAnsi="Times New Roman" w:cs="Times New Roman"/>
          <w:b/>
          <w:bCs/>
          <w:kern w:val="0"/>
          <w:sz w:val="27"/>
          <w:szCs w:val="27"/>
          <w:lang w:eastAsia="en-IN"/>
          <w14:ligatures w14:val="none"/>
        </w:rPr>
        <w:t xml:space="preserve"> What GST returns are required to be filed by a registered society?</w:t>
      </w:r>
    </w:p>
    <w:p w:rsidR="00E60060" w:rsidRPr="00E60060" w:rsidRDefault="00E60060" w:rsidP="00E600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0060">
        <w:rPr>
          <w:rFonts w:ascii="Times New Roman" w:eastAsia="Times New Roman" w:hAnsi="Times New Roman" w:cs="Times New Roman"/>
          <w:kern w:val="0"/>
          <w:sz w:val="24"/>
          <w:szCs w:val="24"/>
          <w:lang w:eastAsia="en-IN"/>
          <w14:ligatures w14:val="none"/>
        </w:rPr>
        <w:t>Depending on the registration category and applicable provisions, societies may be required to file monthly, quarterly, and annual GST returns.</w:t>
      </w:r>
    </w:p>
    <w:p w:rsidR="00E60060" w:rsidRPr="00E60060" w:rsidRDefault="00E60060" w:rsidP="00E600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w:t>
      </w:r>
      <w:r w:rsidRPr="00E60060">
        <w:rPr>
          <w:rFonts w:ascii="Times New Roman" w:eastAsia="Times New Roman" w:hAnsi="Times New Roman" w:cs="Times New Roman"/>
          <w:b/>
          <w:bCs/>
          <w:kern w:val="0"/>
          <w:sz w:val="27"/>
          <w:szCs w:val="27"/>
          <w:lang w:eastAsia="en-IN"/>
          <w14:ligatures w14:val="none"/>
        </w:rPr>
        <w:t>. What are TDS returns?</w:t>
      </w:r>
    </w:p>
    <w:p w:rsidR="00E60060" w:rsidRPr="00E60060" w:rsidRDefault="00E60060" w:rsidP="00E600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0060">
        <w:rPr>
          <w:rFonts w:ascii="Times New Roman" w:eastAsia="Times New Roman" w:hAnsi="Times New Roman" w:cs="Times New Roman"/>
          <w:kern w:val="0"/>
          <w:sz w:val="24"/>
          <w:szCs w:val="24"/>
          <w:lang w:eastAsia="en-IN"/>
          <w14:ligatures w14:val="none"/>
        </w:rPr>
        <w:t>TDS returns are periodic statements filed with the Income Tax Department containing details of taxes deducted and deposited on behalf of vendors and service providers.</w:t>
      </w:r>
    </w:p>
    <w:p w:rsidR="00E60060" w:rsidRPr="00E60060" w:rsidRDefault="00E60060" w:rsidP="00E600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4.</w:t>
      </w:r>
      <w:r w:rsidRPr="00E60060">
        <w:rPr>
          <w:rFonts w:ascii="Times New Roman" w:eastAsia="Times New Roman" w:hAnsi="Times New Roman" w:cs="Times New Roman"/>
          <w:b/>
          <w:bCs/>
          <w:kern w:val="0"/>
          <w:sz w:val="27"/>
          <w:szCs w:val="27"/>
          <w:lang w:eastAsia="en-IN"/>
          <w14:ligatures w14:val="none"/>
        </w:rPr>
        <w:t xml:space="preserve"> Is Income Tax Return filing mandatory for housing societies?</w:t>
      </w:r>
    </w:p>
    <w:p w:rsidR="00E60060" w:rsidRPr="00E60060" w:rsidRDefault="00E60060" w:rsidP="00E600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0060">
        <w:rPr>
          <w:rFonts w:ascii="Times New Roman" w:eastAsia="Times New Roman" w:hAnsi="Times New Roman" w:cs="Times New Roman"/>
          <w:kern w:val="0"/>
          <w:sz w:val="24"/>
          <w:szCs w:val="24"/>
          <w:lang w:eastAsia="en-IN"/>
          <w14:ligatures w14:val="none"/>
        </w:rPr>
        <w:t>Yes. Cooperative Housing Societies are generally required to file Income Tax Returns, even if certain receipts may qualify under the principle of mutuality or other applicable provisions.</w:t>
      </w:r>
    </w:p>
    <w:p w:rsidR="00E60060" w:rsidRPr="00E60060" w:rsidRDefault="00E60060" w:rsidP="00E600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5</w:t>
      </w:r>
      <w:r w:rsidRPr="00E60060">
        <w:rPr>
          <w:rFonts w:ascii="Times New Roman" w:eastAsia="Times New Roman" w:hAnsi="Times New Roman" w:cs="Times New Roman"/>
          <w:b/>
          <w:bCs/>
          <w:kern w:val="0"/>
          <w:sz w:val="27"/>
          <w:szCs w:val="27"/>
          <w:lang w:eastAsia="en-IN"/>
          <w14:ligatures w14:val="none"/>
        </w:rPr>
        <w:t>. What types of income may be taxable for a housing society?</w:t>
      </w:r>
    </w:p>
    <w:p w:rsidR="00E60060" w:rsidRPr="00E60060" w:rsidRDefault="00E60060" w:rsidP="00E600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0060">
        <w:rPr>
          <w:rFonts w:ascii="Times New Roman" w:eastAsia="Times New Roman" w:hAnsi="Times New Roman" w:cs="Times New Roman"/>
          <w:kern w:val="0"/>
          <w:sz w:val="24"/>
          <w:szCs w:val="24"/>
          <w:lang w:eastAsia="en-IN"/>
          <w14:ligatures w14:val="none"/>
        </w:rPr>
        <w:t>Taxability depends on the nature of income. Certain receipts such as interest income, rental income, advertisement income, mobile tower income, and other non-member income may require tax evaluation.</w:t>
      </w:r>
    </w:p>
    <w:p w:rsidR="00E60060" w:rsidRPr="00E60060" w:rsidRDefault="00E60060" w:rsidP="00E600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6</w:t>
      </w:r>
      <w:r w:rsidRPr="00E60060">
        <w:rPr>
          <w:rFonts w:ascii="Times New Roman" w:eastAsia="Times New Roman" w:hAnsi="Times New Roman" w:cs="Times New Roman"/>
          <w:b/>
          <w:bCs/>
          <w:kern w:val="0"/>
          <w:sz w:val="27"/>
          <w:szCs w:val="27"/>
          <w:lang w:eastAsia="en-IN"/>
          <w14:ligatures w14:val="none"/>
        </w:rPr>
        <w:t>. What is an Internal Audit?</w:t>
      </w:r>
    </w:p>
    <w:p w:rsidR="00E60060" w:rsidRPr="00E60060" w:rsidRDefault="00E60060" w:rsidP="00E600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0060">
        <w:rPr>
          <w:rFonts w:ascii="Times New Roman" w:eastAsia="Times New Roman" w:hAnsi="Times New Roman" w:cs="Times New Roman"/>
          <w:kern w:val="0"/>
          <w:sz w:val="24"/>
          <w:szCs w:val="24"/>
          <w:lang w:eastAsia="en-IN"/>
          <w14:ligatures w14:val="none"/>
        </w:rPr>
        <w:t>An Internal Audit is an independent review of the society's financial records, transactions, controls, and compliance practices to identify risks and improve governance.</w:t>
      </w:r>
    </w:p>
    <w:p w:rsidR="00E60060" w:rsidRPr="00E60060" w:rsidRDefault="00E60060" w:rsidP="00E600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7</w:t>
      </w:r>
      <w:r w:rsidRPr="00E60060">
        <w:rPr>
          <w:rFonts w:ascii="Times New Roman" w:eastAsia="Times New Roman" w:hAnsi="Times New Roman" w:cs="Times New Roman"/>
          <w:b/>
          <w:bCs/>
          <w:kern w:val="0"/>
          <w:sz w:val="27"/>
          <w:szCs w:val="27"/>
          <w:lang w:eastAsia="en-IN"/>
          <w14:ligatures w14:val="none"/>
        </w:rPr>
        <w:t>. How is an Internal Audit different from a Statutory Audit?</w:t>
      </w:r>
    </w:p>
    <w:p w:rsidR="00E60060" w:rsidRPr="00E60060" w:rsidRDefault="00E60060" w:rsidP="00E600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0060">
        <w:rPr>
          <w:rFonts w:ascii="Times New Roman" w:eastAsia="Times New Roman" w:hAnsi="Times New Roman" w:cs="Times New Roman"/>
          <w:kern w:val="0"/>
          <w:sz w:val="24"/>
          <w:szCs w:val="24"/>
          <w:lang w:eastAsia="en-IN"/>
          <w14:ligatures w14:val="none"/>
        </w:rPr>
        <w:t>A Statutory Audit is a mandatory annual audit conducted under applicable cooperative laws, whereas an Internal Audit focuses on reviewing internal controls, processes, financial management, and risk areas.</w:t>
      </w:r>
    </w:p>
    <w:p w:rsidR="00E60060" w:rsidRPr="00E60060" w:rsidRDefault="00E60060" w:rsidP="00E600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8</w:t>
      </w:r>
      <w:r w:rsidRPr="00E60060">
        <w:rPr>
          <w:rFonts w:ascii="Times New Roman" w:eastAsia="Times New Roman" w:hAnsi="Times New Roman" w:cs="Times New Roman"/>
          <w:b/>
          <w:bCs/>
          <w:kern w:val="0"/>
          <w:sz w:val="27"/>
          <w:szCs w:val="27"/>
          <w:lang w:eastAsia="en-IN"/>
          <w14:ligatures w14:val="none"/>
        </w:rPr>
        <w:t>. What does an Internal Audit cover?</w:t>
      </w:r>
    </w:p>
    <w:p w:rsidR="00E60060" w:rsidRPr="00E60060" w:rsidRDefault="00E60060" w:rsidP="00E600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0060">
        <w:rPr>
          <w:rFonts w:ascii="Times New Roman" w:eastAsia="Times New Roman" w:hAnsi="Times New Roman" w:cs="Times New Roman"/>
          <w:kern w:val="0"/>
          <w:sz w:val="24"/>
          <w:szCs w:val="24"/>
          <w:lang w:eastAsia="en-IN"/>
          <w14:ligatures w14:val="none"/>
        </w:rPr>
        <w:t>An Internal Audit may cover:</w:t>
      </w:r>
    </w:p>
    <w:p w:rsidR="00E60060" w:rsidRPr="00E60060" w:rsidRDefault="00E60060" w:rsidP="00E6006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0060">
        <w:rPr>
          <w:rFonts w:ascii="Times New Roman" w:eastAsia="Times New Roman" w:hAnsi="Times New Roman" w:cs="Times New Roman"/>
          <w:kern w:val="0"/>
          <w:sz w:val="24"/>
          <w:szCs w:val="24"/>
          <w:lang w:eastAsia="en-IN"/>
          <w14:ligatures w14:val="none"/>
        </w:rPr>
        <w:t>Accounting Records</w:t>
      </w:r>
    </w:p>
    <w:p w:rsidR="00E60060" w:rsidRPr="00E60060" w:rsidRDefault="00E60060" w:rsidP="00E6006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0060">
        <w:rPr>
          <w:rFonts w:ascii="Times New Roman" w:eastAsia="Times New Roman" w:hAnsi="Times New Roman" w:cs="Times New Roman"/>
          <w:kern w:val="0"/>
          <w:sz w:val="24"/>
          <w:szCs w:val="24"/>
          <w:lang w:eastAsia="en-IN"/>
          <w14:ligatures w14:val="none"/>
        </w:rPr>
        <w:t>Ledger Scrutiny</w:t>
      </w:r>
    </w:p>
    <w:p w:rsidR="00E60060" w:rsidRPr="00E60060" w:rsidRDefault="00E60060" w:rsidP="00E6006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0060">
        <w:rPr>
          <w:rFonts w:ascii="Times New Roman" w:eastAsia="Times New Roman" w:hAnsi="Times New Roman" w:cs="Times New Roman"/>
          <w:kern w:val="0"/>
          <w:sz w:val="24"/>
          <w:szCs w:val="24"/>
          <w:lang w:eastAsia="en-IN"/>
          <w14:ligatures w14:val="none"/>
        </w:rPr>
        <w:t>Expense Verification</w:t>
      </w:r>
    </w:p>
    <w:p w:rsidR="00E60060" w:rsidRPr="00E60060" w:rsidRDefault="00E60060" w:rsidP="00E6006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0060">
        <w:rPr>
          <w:rFonts w:ascii="Times New Roman" w:eastAsia="Times New Roman" w:hAnsi="Times New Roman" w:cs="Times New Roman"/>
          <w:kern w:val="0"/>
          <w:sz w:val="24"/>
          <w:szCs w:val="24"/>
          <w:lang w:eastAsia="en-IN"/>
          <w14:ligatures w14:val="none"/>
        </w:rPr>
        <w:t>Maintenance Collections</w:t>
      </w:r>
    </w:p>
    <w:p w:rsidR="00E60060" w:rsidRPr="00E60060" w:rsidRDefault="00E60060" w:rsidP="00E6006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0060">
        <w:rPr>
          <w:rFonts w:ascii="Times New Roman" w:eastAsia="Times New Roman" w:hAnsi="Times New Roman" w:cs="Times New Roman"/>
          <w:kern w:val="0"/>
          <w:sz w:val="24"/>
          <w:szCs w:val="24"/>
          <w:lang w:eastAsia="en-IN"/>
          <w14:ligatures w14:val="none"/>
        </w:rPr>
        <w:t>Vendor Payments</w:t>
      </w:r>
    </w:p>
    <w:p w:rsidR="00E60060" w:rsidRPr="00E60060" w:rsidRDefault="00E60060" w:rsidP="00E6006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0060">
        <w:rPr>
          <w:rFonts w:ascii="Times New Roman" w:eastAsia="Times New Roman" w:hAnsi="Times New Roman" w:cs="Times New Roman"/>
          <w:kern w:val="0"/>
          <w:sz w:val="24"/>
          <w:szCs w:val="24"/>
          <w:lang w:eastAsia="en-IN"/>
          <w14:ligatures w14:val="none"/>
        </w:rPr>
        <w:lastRenderedPageBreak/>
        <w:t>Bank Reconciliations</w:t>
      </w:r>
    </w:p>
    <w:p w:rsidR="00E60060" w:rsidRPr="00E60060" w:rsidRDefault="00E60060" w:rsidP="00E6006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0060">
        <w:rPr>
          <w:rFonts w:ascii="Times New Roman" w:eastAsia="Times New Roman" w:hAnsi="Times New Roman" w:cs="Times New Roman"/>
          <w:kern w:val="0"/>
          <w:sz w:val="24"/>
          <w:szCs w:val="24"/>
          <w:lang w:eastAsia="en-IN"/>
          <w14:ligatures w14:val="none"/>
        </w:rPr>
        <w:t>Fund Utilization</w:t>
      </w:r>
    </w:p>
    <w:p w:rsidR="00E60060" w:rsidRPr="00E60060" w:rsidRDefault="00E60060" w:rsidP="00E6006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0060">
        <w:rPr>
          <w:rFonts w:ascii="Times New Roman" w:eastAsia="Times New Roman" w:hAnsi="Times New Roman" w:cs="Times New Roman"/>
          <w:kern w:val="0"/>
          <w:sz w:val="24"/>
          <w:szCs w:val="24"/>
          <w:lang w:eastAsia="en-IN"/>
          <w14:ligatures w14:val="none"/>
        </w:rPr>
        <w:t>Compliance Review</w:t>
      </w:r>
    </w:p>
    <w:p w:rsidR="00E60060" w:rsidRPr="00E60060" w:rsidRDefault="00E60060" w:rsidP="00E6006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0060">
        <w:rPr>
          <w:rFonts w:ascii="Times New Roman" w:eastAsia="Times New Roman" w:hAnsi="Times New Roman" w:cs="Times New Roman"/>
          <w:kern w:val="0"/>
          <w:sz w:val="24"/>
          <w:szCs w:val="24"/>
          <w:lang w:eastAsia="en-IN"/>
          <w14:ligatures w14:val="none"/>
        </w:rPr>
        <w:t>Financial Controls</w:t>
      </w:r>
    </w:p>
    <w:p w:rsidR="00E60060" w:rsidRPr="00E60060" w:rsidRDefault="00E60060" w:rsidP="00E600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9.</w:t>
      </w:r>
      <w:r w:rsidRPr="00E60060">
        <w:rPr>
          <w:rFonts w:ascii="Times New Roman" w:eastAsia="Times New Roman" w:hAnsi="Times New Roman" w:cs="Times New Roman"/>
          <w:b/>
          <w:bCs/>
          <w:kern w:val="0"/>
          <w:sz w:val="27"/>
          <w:szCs w:val="27"/>
          <w:lang w:eastAsia="en-IN"/>
          <w14:ligatures w14:val="none"/>
        </w:rPr>
        <w:t xml:space="preserve"> Why is Bank Reconciliation important?</w:t>
      </w:r>
    </w:p>
    <w:p w:rsidR="00E60060" w:rsidRPr="00E60060" w:rsidRDefault="00E60060" w:rsidP="00E600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0060">
        <w:rPr>
          <w:rFonts w:ascii="Times New Roman" w:eastAsia="Times New Roman" w:hAnsi="Times New Roman" w:cs="Times New Roman"/>
          <w:kern w:val="0"/>
          <w:sz w:val="24"/>
          <w:szCs w:val="24"/>
          <w:lang w:eastAsia="en-IN"/>
          <w14:ligatures w14:val="none"/>
        </w:rPr>
        <w:t>Bank reconciliation helps ensure that society accounting records match bank statements and assists in identifying errors, omissions, or unauthorized transactions.</w:t>
      </w:r>
    </w:p>
    <w:p w:rsidR="00E60060" w:rsidRPr="00E60060" w:rsidRDefault="00E60060" w:rsidP="00E600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10.</w:t>
      </w:r>
      <w:r w:rsidRPr="00E60060">
        <w:rPr>
          <w:rFonts w:ascii="Times New Roman" w:eastAsia="Times New Roman" w:hAnsi="Times New Roman" w:cs="Times New Roman"/>
          <w:b/>
          <w:bCs/>
          <w:kern w:val="0"/>
          <w:sz w:val="27"/>
          <w:szCs w:val="27"/>
          <w:lang w:eastAsia="en-IN"/>
          <w14:ligatures w14:val="none"/>
        </w:rPr>
        <w:t xml:space="preserve"> Can housing societies outsource accounting and tax compliance?</w:t>
      </w:r>
    </w:p>
    <w:p w:rsidR="00E60060" w:rsidRPr="00E60060" w:rsidRDefault="00E60060" w:rsidP="00E600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0060">
        <w:rPr>
          <w:rFonts w:ascii="Times New Roman" w:eastAsia="Times New Roman" w:hAnsi="Times New Roman" w:cs="Times New Roman"/>
          <w:kern w:val="0"/>
          <w:sz w:val="24"/>
          <w:szCs w:val="24"/>
          <w:lang w:eastAsia="en-IN"/>
          <w14:ligatures w14:val="none"/>
        </w:rPr>
        <w:t>Yes. Many societies engage professional consultants for bookkeeping, GST compliance, TDS compliance, Income Tax filing, internal audits, and financial reviews.</w:t>
      </w:r>
    </w:p>
    <w:p w:rsidR="00E60060" w:rsidRPr="00E60060" w:rsidRDefault="00E60060" w:rsidP="00E600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11</w:t>
      </w:r>
      <w:bookmarkStart w:id="0" w:name="_GoBack"/>
      <w:bookmarkEnd w:id="0"/>
      <w:r w:rsidRPr="00E60060">
        <w:rPr>
          <w:rFonts w:ascii="Times New Roman" w:eastAsia="Times New Roman" w:hAnsi="Times New Roman" w:cs="Times New Roman"/>
          <w:b/>
          <w:bCs/>
          <w:kern w:val="0"/>
          <w:sz w:val="27"/>
          <w:szCs w:val="27"/>
          <w:lang w:eastAsia="en-IN"/>
          <w14:ligatures w14:val="none"/>
        </w:rPr>
        <w:t>. How can ConsultAvenuee assist our housing society?</w:t>
      </w:r>
    </w:p>
    <w:p w:rsidR="00E60060" w:rsidRPr="00E60060" w:rsidRDefault="00E60060" w:rsidP="00E6006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0060">
        <w:rPr>
          <w:rFonts w:ascii="Times New Roman" w:eastAsia="Times New Roman" w:hAnsi="Times New Roman" w:cs="Times New Roman"/>
          <w:kern w:val="0"/>
          <w:sz w:val="24"/>
          <w:szCs w:val="24"/>
          <w:lang w:eastAsia="en-IN"/>
          <w14:ligatures w14:val="none"/>
        </w:rPr>
        <w:t>ConsultAvenuee provides end-to-end support for GST compliance, TDS compliance, Income Tax filings, accounting reviews, internal audits, financial reporting, tax advisory, and ongoing financial governance support, helping societies maintain transparency, compliance, and financial discipline.</w:t>
      </w:r>
    </w:p>
    <w:p w:rsidR="003E1954" w:rsidRDefault="003E1954"/>
    <w:sectPr w:rsidR="003E19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C41EBB"/>
    <w:multiLevelType w:val="multilevel"/>
    <w:tmpl w:val="2D54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82CE7"/>
    <w:multiLevelType w:val="multilevel"/>
    <w:tmpl w:val="A9A6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263A2"/>
    <w:multiLevelType w:val="multilevel"/>
    <w:tmpl w:val="2EEC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92964"/>
    <w:multiLevelType w:val="multilevel"/>
    <w:tmpl w:val="2C80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3C4763"/>
    <w:multiLevelType w:val="multilevel"/>
    <w:tmpl w:val="D796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F8397B"/>
    <w:multiLevelType w:val="multilevel"/>
    <w:tmpl w:val="A9F2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B74D20"/>
    <w:multiLevelType w:val="multilevel"/>
    <w:tmpl w:val="29F4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F50A70"/>
    <w:multiLevelType w:val="multilevel"/>
    <w:tmpl w:val="3FC6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7"/>
  </w:num>
  <w:num w:numId="4">
    <w:abstractNumId w:val="4"/>
  </w:num>
  <w:num w:numId="5">
    <w:abstractNumId w:val="3"/>
  </w:num>
  <w:num w:numId="6">
    <w:abstractNumId w:val="1"/>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9DB"/>
    <w:rsid w:val="002000CC"/>
    <w:rsid w:val="00234303"/>
    <w:rsid w:val="003E1954"/>
    <w:rsid w:val="004939DB"/>
    <w:rsid w:val="00812BD1"/>
    <w:rsid w:val="008E2150"/>
    <w:rsid w:val="00E600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93E6A"/>
  <w15:chartTrackingRefBased/>
  <w15:docId w15:val="{19187BBC-C98A-4C12-B3B8-566E00228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939D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4939DB"/>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4939D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9DB"/>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4939DB"/>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4939DB"/>
    <w:rPr>
      <w:rFonts w:ascii="Times New Roman" w:eastAsia="Times New Roman" w:hAnsi="Times New Roman" w:cs="Times New Roman"/>
      <w:b/>
      <w:bCs/>
      <w:kern w:val="0"/>
      <w:sz w:val="27"/>
      <w:szCs w:val="27"/>
      <w:lang w:eastAsia="en-IN"/>
      <w14:ligatures w14:val="none"/>
    </w:rPr>
  </w:style>
  <w:style w:type="paragraph" w:customStyle="1" w:styleId="isselectedend">
    <w:name w:val="isselectedend"/>
    <w:basedOn w:val="Normal"/>
    <w:rsid w:val="004939D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4939D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203395">
      <w:bodyDiv w:val="1"/>
      <w:marLeft w:val="0"/>
      <w:marRight w:val="0"/>
      <w:marTop w:val="0"/>
      <w:marBottom w:val="0"/>
      <w:divBdr>
        <w:top w:val="none" w:sz="0" w:space="0" w:color="auto"/>
        <w:left w:val="none" w:sz="0" w:space="0" w:color="auto"/>
        <w:bottom w:val="none" w:sz="0" w:space="0" w:color="auto"/>
        <w:right w:val="none" w:sz="0" w:space="0" w:color="auto"/>
      </w:divBdr>
    </w:div>
    <w:div w:id="801387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4</Pages>
  <Words>852</Words>
  <Characters>4861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2026-06-09T08:58:00Z</dcterms:created>
  <dcterms:modified xsi:type="dcterms:W3CDTF">2026-06-09T12:28:00Z</dcterms:modified>
</cp:coreProperties>
</file>