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DAF267B" w14:textId="77777777" w:rsidR="00A20AA6" w:rsidRPr="00E72CD1" w:rsidRDefault="00A20AA6" w:rsidP="00A20AA6">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E72CD1">
        <w:rPr>
          <w:rFonts w:ascii="Open Sans" w:eastAsia="Times New Roman" w:hAnsi="Open Sans" w:cs="Open Sans"/>
          <w:b/>
          <w:bCs/>
          <w:kern w:val="36"/>
          <w:sz w:val="48"/>
          <w:szCs w:val="48"/>
          <w:lang w:eastAsia="en-IN"/>
          <w14:ligatures w14:val="none"/>
        </w:rPr>
        <w:t>MCA Annual Compliance Services</w:t>
      </w:r>
    </w:p>
    <w:p w14:paraId="1363F269" w14:textId="77777777" w:rsidR="00A20AA6" w:rsidRPr="00E72CD1" w:rsidRDefault="00A20AA6" w:rsidP="00A20AA6">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E72CD1">
        <w:rPr>
          <w:rFonts w:ascii="Open Sans" w:eastAsia="Times New Roman" w:hAnsi="Open Sans" w:cs="Open Sans"/>
          <w:b/>
          <w:bCs/>
          <w:kern w:val="0"/>
          <w:sz w:val="36"/>
          <w:szCs w:val="36"/>
          <w:lang w:eastAsia="en-IN"/>
          <w14:ligatures w14:val="none"/>
        </w:rPr>
        <w:t>Stay Compliant. Stay Protected. Stay Focused on Growth.</w:t>
      </w:r>
    </w:p>
    <w:p w14:paraId="7C5762AF" w14:textId="77777777" w:rsidR="00A20AA6" w:rsidRPr="00E72CD1" w:rsidRDefault="00A20AA6" w:rsidP="00A20AA6">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Every company registered under the Companies Act is required to comply with various annual filing and statutory requirements. Timely compliance helps maintain good corporate standing, enhances credibility, and reduces regulatory risks.</w:t>
      </w:r>
    </w:p>
    <w:p w14:paraId="47765977" w14:textId="77777777" w:rsidR="004C35F8" w:rsidRPr="00E72CD1" w:rsidRDefault="004C35F8" w:rsidP="004C35F8">
      <w:pPr>
        <w:spacing w:before="100" w:beforeAutospacing="1" w:after="100" w:afterAutospacing="1" w:line="240" w:lineRule="auto"/>
        <w:jc w:val="both"/>
        <w:rPr>
          <w:rFonts w:ascii="Open Sans" w:eastAsia="Times New Roman" w:hAnsi="Open Sans" w:cs="Open Sans"/>
          <w:sz w:val="26"/>
          <w:szCs w:val="26"/>
          <w:lang w:eastAsia="en-IN"/>
        </w:rPr>
      </w:pPr>
      <w:r w:rsidRPr="00E72CD1">
        <w:rPr>
          <w:rFonts w:ascii="Open Sans" w:eastAsia="Times New Roman" w:hAnsi="Open Sans" w:cs="Open Sans"/>
          <w:sz w:val="26"/>
          <w:szCs w:val="26"/>
          <w:lang w:eastAsia="en-IN"/>
        </w:rPr>
        <w:t xml:space="preserve">At </w:t>
      </w:r>
      <w:proofErr w:type="spellStart"/>
      <w:r w:rsidRPr="00E72CD1">
        <w:rPr>
          <w:rFonts w:ascii="Open Sans" w:eastAsia="Times New Roman" w:hAnsi="Open Sans" w:cs="Open Sans"/>
          <w:sz w:val="26"/>
          <w:szCs w:val="26"/>
          <w:lang w:eastAsia="en-IN"/>
        </w:rPr>
        <w:t>ConsultAvenuee</w:t>
      </w:r>
      <w:proofErr w:type="spellEnd"/>
      <w:r w:rsidRPr="00E72CD1">
        <w:rPr>
          <w:rFonts w:ascii="Open Sans" w:eastAsia="Times New Roman" w:hAnsi="Open Sans" w:cs="Open Sans"/>
          <w:sz w:val="26"/>
          <w:szCs w:val="26"/>
          <w:lang w:eastAsia="en-IN"/>
        </w:rPr>
        <w:t>, we provide end-to-end MCA Annual Compliance services, ensuring that your company remains fully compliant with all statutory requirements while you focus on running your business.</w:t>
      </w:r>
    </w:p>
    <w:p w14:paraId="0B7D5A90" w14:textId="739B13E8" w:rsidR="00A20AA6" w:rsidRPr="00E72CD1" w:rsidRDefault="00A20AA6" w:rsidP="00A20AA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Our Services Include</w:t>
      </w:r>
    </w:p>
    <w:p w14:paraId="03F95366" w14:textId="3526FE6B" w:rsidR="004C35F8" w:rsidRPr="00E72CD1" w:rsidRDefault="004C35F8" w:rsidP="004C35F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E72CD1">
        <w:rPr>
          <w:rFonts w:ascii="Open Sans" w:eastAsia="Times New Roman" w:hAnsi="Open Sans" w:cs="Open Sans"/>
          <w:b/>
          <w:bCs/>
          <w:kern w:val="0"/>
          <w:sz w:val="36"/>
          <w:szCs w:val="36"/>
          <w:lang w:eastAsia="en-IN"/>
          <w14:ligatures w14:val="none"/>
        </w:rPr>
        <w:t>ROC Forms Covered Under Annual Compliance</w:t>
      </w:r>
    </w:p>
    <w:p w14:paraId="45A33C4C" w14:textId="77777777" w:rsidR="00A8477F" w:rsidRPr="00E72CD1" w:rsidRDefault="00A8477F" w:rsidP="00A8477F">
      <w:pPr>
        <w:spacing w:before="100" w:beforeAutospacing="1" w:after="100" w:afterAutospacing="1" w:line="240" w:lineRule="auto"/>
        <w:outlineLvl w:val="3"/>
        <w:rPr>
          <w:rFonts w:ascii="Open Sans" w:eastAsia="Times New Roman" w:hAnsi="Open Sans" w:cs="Open Sans"/>
          <w:b/>
          <w:bCs/>
          <w:sz w:val="26"/>
          <w:szCs w:val="26"/>
          <w:lang w:eastAsia="en-IN"/>
        </w:rPr>
      </w:pPr>
      <w:r w:rsidRPr="00E72CD1">
        <w:rPr>
          <w:rFonts w:ascii="Open Sans" w:eastAsia="Times New Roman" w:hAnsi="Open Sans" w:cs="Open Sans"/>
          <w:b/>
          <w:bCs/>
          <w:sz w:val="26"/>
          <w:szCs w:val="26"/>
          <w:lang w:eastAsia="en-IN"/>
        </w:rPr>
        <w:t>For Companies</w:t>
      </w:r>
    </w:p>
    <w:p w14:paraId="0F01312C"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Form AOC-4</w:t>
      </w:r>
    </w:p>
    <w:p w14:paraId="3BC8128B"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Filing of Financial Statements and related documents with the Registrar of Companies.</w:t>
      </w:r>
    </w:p>
    <w:p w14:paraId="057C22C2"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Form MGT-7 / MGT-7A</w:t>
      </w:r>
    </w:p>
    <w:p w14:paraId="064E322A"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Filing of Annual Return containing details relating to:</w:t>
      </w:r>
    </w:p>
    <w:p w14:paraId="00E725E4" w14:textId="77777777" w:rsidR="004C35F8" w:rsidRPr="00E72CD1" w:rsidRDefault="004C35F8" w:rsidP="004C35F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Shareholders</w:t>
      </w:r>
    </w:p>
    <w:p w14:paraId="3EA54AE2" w14:textId="77777777" w:rsidR="004C35F8" w:rsidRPr="00E72CD1" w:rsidRDefault="004C35F8" w:rsidP="004C35F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Directors</w:t>
      </w:r>
    </w:p>
    <w:p w14:paraId="66369CA3" w14:textId="77777777" w:rsidR="004C35F8" w:rsidRPr="00E72CD1" w:rsidRDefault="004C35F8" w:rsidP="004C35F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Share Capital</w:t>
      </w:r>
    </w:p>
    <w:p w14:paraId="58240B08" w14:textId="77777777" w:rsidR="004C35F8" w:rsidRPr="00E72CD1" w:rsidRDefault="004C35F8" w:rsidP="004C35F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Registered Office</w:t>
      </w:r>
    </w:p>
    <w:p w14:paraId="79C8085F" w14:textId="77777777" w:rsidR="004C35F8" w:rsidRPr="00E72CD1" w:rsidRDefault="004C35F8" w:rsidP="004C35F8">
      <w:pPr>
        <w:numPr>
          <w:ilvl w:val="0"/>
          <w:numId w:val="9"/>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Other statutory information</w:t>
      </w:r>
    </w:p>
    <w:p w14:paraId="09F615E2"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DIR-3 KYC</w:t>
      </w:r>
    </w:p>
    <w:p w14:paraId="40B22BD6"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Annual KYC compliance for Directors holding Director Identification Number (DIN).</w:t>
      </w:r>
    </w:p>
    <w:p w14:paraId="0E487515"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DPT-3</w:t>
      </w:r>
    </w:p>
    <w:p w14:paraId="0CC04CEC"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lastRenderedPageBreak/>
        <w:t>Reporting of deposits and certain outstanding receipts, where applicable.</w:t>
      </w:r>
    </w:p>
    <w:p w14:paraId="4853A63E"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MSME Form-I</w:t>
      </w:r>
    </w:p>
    <w:p w14:paraId="4C1D6E51" w14:textId="224D0CD3"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Half-yearly reporting relating to outstanding dues to MSME suppliers, where applicable.</w:t>
      </w:r>
    </w:p>
    <w:p w14:paraId="61374F7A" w14:textId="77777777" w:rsidR="00A8477F" w:rsidRPr="00E72CD1" w:rsidRDefault="00A8477F" w:rsidP="00A8477F">
      <w:pPr>
        <w:spacing w:before="100" w:beforeAutospacing="1" w:after="100" w:afterAutospacing="1" w:line="240" w:lineRule="auto"/>
        <w:outlineLvl w:val="3"/>
        <w:rPr>
          <w:rFonts w:ascii="Open Sans" w:eastAsia="Times New Roman" w:hAnsi="Open Sans" w:cs="Open Sans"/>
          <w:b/>
          <w:bCs/>
          <w:sz w:val="26"/>
          <w:szCs w:val="26"/>
          <w:lang w:eastAsia="en-IN"/>
        </w:rPr>
      </w:pPr>
      <w:r w:rsidRPr="00E72CD1">
        <w:rPr>
          <w:rFonts w:ascii="Open Sans" w:eastAsia="Times New Roman" w:hAnsi="Open Sans" w:cs="Open Sans"/>
          <w:b/>
          <w:bCs/>
          <w:sz w:val="26"/>
          <w:szCs w:val="26"/>
          <w:lang w:eastAsia="en-IN"/>
        </w:rPr>
        <w:t>For LLPs</w:t>
      </w:r>
    </w:p>
    <w:p w14:paraId="21F0EB31" w14:textId="77777777" w:rsidR="00A8477F" w:rsidRPr="00E72CD1" w:rsidRDefault="00A8477F" w:rsidP="00A8477F">
      <w:pPr>
        <w:numPr>
          <w:ilvl w:val="0"/>
          <w:numId w:val="17"/>
        </w:numPr>
        <w:spacing w:before="100" w:beforeAutospacing="1" w:after="100" w:afterAutospacing="1" w:line="240" w:lineRule="auto"/>
        <w:rPr>
          <w:rFonts w:ascii="Open Sans" w:eastAsia="Times New Roman" w:hAnsi="Open Sans" w:cs="Open Sans"/>
          <w:sz w:val="26"/>
          <w:szCs w:val="26"/>
          <w:lang w:eastAsia="en-IN"/>
        </w:rPr>
      </w:pPr>
      <w:r w:rsidRPr="00E72CD1">
        <w:rPr>
          <w:rFonts w:ascii="Open Sans" w:eastAsia="Times New Roman" w:hAnsi="Open Sans" w:cs="Open Sans"/>
          <w:sz w:val="26"/>
          <w:szCs w:val="26"/>
          <w:lang w:eastAsia="en-IN"/>
        </w:rPr>
        <w:t xml:space="preserve">LLP Annual Return (Form 11) </w:t>
      </w:r>
    </w:p>
    <w:p w14:paraId="327B718C" w14:textId="77777777" w:rsidR="00A8477F" w:rsidRPr="00E72CD1" w:rsidRDefault="00A8477F" w:rsidP="00A8477F">
      <w:pPr>
        <w:numPr>
          <w:ilvl w:val="0"/>
          <w:numId w:val="17"/>
        </w:numPr>
        <w:spacing w:before="100" w:beforeAutospacing="1" w:after="100" w:afterAutospacing="1" w:line="240" w:lineRule="auto"/>
        <w:rPr>
          <w:rFonts w:ascii="Open Sans" w:eastAsia="Times New Roman" w:hAnsi="Open Sans" w:cs="Open Sans"/>
          <w:sz w:val="26"/>
          <w:szCs w:val="26"/>
          <w:lang w:eastAsia="en-IN"/>
        </w:rPr>
      </w:pPr>
      <w:r w:rsidRPr="00E72CD1">
        <w:rPr>
          <w:rFonts w:ascii="Open Sans" w:eastAsia="Times New Roman" w:hAnsi="Open Sans" w:cs="Open Sans"/>
          <w:sz w:val="26"/>
          <w:szCs w:val="26"/>
          <w:lang w:eastAsia="en-IN"/>
        </w:rPr>
        <w:t xml:space="preserve">Statement of Account &amp; Solvency (Form 8) </w:t>
      </w:r>
    </w:p>
    <w:p w14:paraId="201DF271"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Other Event-Based Filings</w:t>
      </w:r>
    </w:p>
    <w:p w14:paraId="37EAAACC"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Assistance with various ROC filings as may be applicable based on company-specific transactions and events.</w:t>
      </w:r>
    </w:p>
    <w:p w14:paraId="7A16C285" w14:textId="77777777" w:rsidR="00A20AA6" w:rsidRPr="00E72CD1" w:rsidRDefault="00A20AA6" w:rsidP="00A20AA6">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Who Can Benefit?</w:t>
      </w:r>
    </w:p>
    <w:p w14:paraId="563172DC" w14:textId="77777777" w:rsidR="00A20AA6" w:rsidRPr="00E72CD1" w:rsidRDefault="00A20AA6" w:rsidP="00A20AA6">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Private Limited Companies</w:t>
      </w:r>
    </w:p>
    <w:p w14:paraId="42103637" w14:textId="77777777" w:rsidR="00A20AA6" w:rsidRPr="00E72CD1" w:rsidRDefault="00A20AA6" w:rsidP="00A20AA6">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One Person Companies (OPCs)</w:t>
      </w:r>
    </w:p>
    <w:p w14:paraId="02FCC316" w14:textId="77777777" w:rsidR="00A20AA6" w:rsidRPr="00E72CD1" w:rsidRDefault="00A20AA6" w:rsidP="00A20AA6">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Section 8 Companies</w:t>
      </w:r>
    </w:p>
    <w:p w14:paraId="35D4D412" w14:textId="77777777" w:rsidR="00A20AA6" w:rsidRPr="00E72CD1" w:rsidRDefault="00A20AA6" w:rsidP="00A20AA6">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E72CD1">
        <w:rPr>
          <w:rFonts w:ascii="Open Sans" w:eastAsia="Times New Roman" w:hAnsi="Open Sans" w:cs="Open Sans"/>
          <w:kern w:val="0"/>
          <w:sz w:val="24"/>
          <w:szCs w:val="24"/>
          <w:lang w:eastAsia="en-IN"/>
          <w14:ligatures w14:val="none"/>
        </w:rPr>
        <w:t>Startup</w:t>
      </w:r>
      <w:proofErr w:type="spellEnd"/>
      <w:r w:rsidRPr="00E72CD1">
        <w:rPr>
          <w:rFonts w:ascii="Open Sans" w:eastAsia="Times New Roman" w:hAnsi="Open Sans" w:cs="Open Sans"/>
          <w:kern w:val="0"/>
          <w:sz w:val="24"/>
          <w:szCs w:val="24"/>
          <w:lang w:eastAsia="en-IN"/>
          <w14:ligatures w14:val="none"/>
        </w:rPr>
        <w:t xml:space="preserve"> Companies</w:t>
      </w:r>
    </w:p>
    <w:p w14:paraId="40D88F68" w14:textId="77777777" w:rsidR="00A20AA6" w:rsidRPr="00E72CD1" w:rsidRDefault="00A20AA6" w:rsidP="00A20AA6">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Group Companies and Holding Structures</w:t>
      </w:r>
    </w:p>
    <w:p w14:paraId="4F026398" w14:textId="77777777" w:rsidR="00A20AA6" w:rsidRPr="00E72CD1" w:rsidRDefault="00A20AA6" w:rsidP="00A20AA6">
      <w:pPr>
        <w:numPr>
          <w:ilvl w:val="0"/>
          <w:numId w:val="4"/>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Foreign-Owned Indian Companies</w:t>
      </w:r>
    </w:p>
    <w:p w14:paraId="269AC108" w14:textId="77777777" w:rsidR="004C35F8" w:rsidRPr="00E72CD1" w:rsidRDefault="004C35F8" w:rsidP="004C35F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E72CD1">
        <w:rPr>
          <w:rFonts w:ascii="Open Sans" w:eastAsia="Times New Roman" w:hAnsi="Open Sans" w:cs="Open Sans"/>
          <w:b/>
          <w:bCs/>
          <w:kern w:val="0"/>
          <w:sz w:val="36"/>
          <w:szCs w:val="36"/>
          <w:lang w:eastAsia="en-IN"/>
          <w14:ligatures w14:val="none"/>
        </w:rPr>
        <w:t>Consequences of Non-Compliance</w:t>
      </w:r>
    </w:p>
    <w:p w14:paraId="19EC29BF"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Failure to comply with annual filing requirements may result in:</w:t>
      </w:r>
    </w:p>
    <w:p w14:paraId="140A5610" w14:textId="77777777" w:rsidR="004C35F8" w:rsidRPr="00E72CD1" w:rsidRDefault="004C35F8" w:rsidP="004C35F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Additional filing fees</w:t>
      </w:r>
    </w:p>
    <w:p w14:paraId="6B9456D6" w14:textId="77777777" w:rsidR="004C35F8" w:rsidRPr="00E72CD1" w:rsidRDefault="004C35F8" w:rsidP="004C35F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Regulatory penalties</w:t>
      </w:r>
    </w:p>
    <w:p w14:paraId="34D44455" w14:textId="77777777" w:rsidR="004C35F8" w:rsidRPr="00E72CD1" w:rsidRDefault="004C35F8" w:rsidP="004C35F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Director compliance issues</w:t>
      </w:r>
    </w:p>
    <w:p w14:paraId="4E4E3CA2" w14:textId="77777777" w:rsidR="004C35F8" w:rsidRPr="00E72CD1" w:rsidRDefault="004C35F8" w:rsidP="004C35F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Company being treated as non-compliant</w:t>
      </w:r>
    </w:p>
    <w:p w14:paraId="2A78DED5" w14:textId="77777777" w:rsidR="004C35F8" w:rsidRPr="00E72CD1" w:rsidRDefault="004C35F8" w:rsidP="004C35F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Difficulties in obtaining loans, investments, tenders, and approvals</w:t>
      </w:r>
    </w:p>
    <w:p w14:paraId="7A094BE5" w14:textId="77777777" w:rsidR="004C35F8" w:rsidRPr="00E72CD1" w:rsidRDefault="004C35F8" w:rsidP="004C35F8">
      <w:pPr>
        <w:numPr>
          <w:ilvl w:val="0"/>
          <w:numId w:val="1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Increased regulatory scrutiny</w:t>
      </w:r>
    </w:p>
    <w:p w14:paraId="51B18B13"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Timely compliance helps safeguard the company's reputation and legal status.</w:t>
      </w:r>
    </w:p>
    <w:p w14:paraId="5CE5D21C" w14:textId="77777777" w:rsidR="004C35F8" w:rsidRPr="00E72CD1" w:rsidRDefault="004C35F8" w:rsidP="004C35F8">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E72CD1">
        <w:rPr>
          <w:rFonts w:ascii="Open Sans" w:eastAsia="Times New Roman" w:hAnsi="Open Sans" w:cs="Open Sans"/>
          <w:b/>
          <w:bCs/>
          <w:kern w:val="0"/>
          <w:sz w:val="36"/>
          <w:szCs w:val="36"/>
          <w:lang w:eastAsia="en-IN"/>
          <w14:ligatures w14:val="none"/>
        </w:rPr>
        <w:t>Frequently Asked Questions (FAQs)</w:t>
      </w:r>
    </w:p>
    <w:p w14:paraId="77BA67EA"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lastRenderedPageBreak/>
        <w:t>Is annual compliance mandatory even if the company has no business activity?</w:t>
      </w:r>
    </w:p>
    <w:p w14:paraId="453183DA"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Yes. Companies are generally required to complete prescribed annual compliances and filings even if there are limited or no business transactions during the year.</w:t>
      </w:r>
    </w:p>
    <w:p w14:paraId="179C282D"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Which are the major annual ROC filing forms?</w:t>
      </w:r>
    </w:p>
    <w:p w14:paraId="5CBE01FD"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The commonly applicable annual compliance forms include:</w:t>
      </w:r>
    </w:p>
    <w:p w14:paraId="005F373B" w14:textId="77777777" w:rsidR="004C35F8" w:rsidRPr="00E72CD1" w:rsidRDefault="004C35F8" w:rsidP="004C35F8">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AOC-4</w:t>
      </w:r>
    </w:p>
    <w:p w14:paraId="5FD6909F" w14:textId="77777777" w:rsidR="004C35F8" w:rsidRPr="00E72CD1" w:rsidRDefault="004C35F8" w:rsidP="004C35F8">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MGT-7 / MGT-7A</w:t>
      </w:r>
    </w:p>
    <w:p w14:paraId="45771AD3" w14:textId="77777777" w:rsidR="004C35F8" w:rsidRPr="00E72CD1" w:rsidRDefault="004C35F8" w:rsidP="004C35F8">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DIR-3 KYC</w:t>
      </w:r>
    </w:p>
    <w:p w14:paraId="054CEA92" w14:textId="77777777" w:rsidR="004C35F8" w:rsidRPr="00E72CD1" w:rsidRDefault="004C35F8" w:rsidP="004C35F8">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DPT-3</w:t>
      </w:r>
    </w:p>
    <w:p w14:paraId="72CF9550" w14:textId="77777777" w:rsidR="004C35F8" w:rsidRPr="00E72CD1" w:rsidRDefault="004C35F8" w:rsidP="004C35F8">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MSME Form-I (where applicable)</w:t>
      </w:r>
    </w:p>
    <w:p w14:paraId="20A019B2"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What happens if annual filings are delayed?</w:t>
      </w:r>
    </w:p>
    <w:p w14:paraId="3906906A"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Delayed filings may attract additional fees, regulatory consequences, and compliance issues for the company and its directors.</w:t>
      </w:r>
    </w:p>
    <w:p w14:paraId="4BDF08AD" w14:textId="77777777" w:rsidR="004C35F8" w:rsidRPr="00E72CD1" w:rsidRDefault="004C35F8" w:rsidP="004C35F8">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E72CD1">
        <w:rPr>
          <w:rFonts w:ascii="Open Sans" w:eastAsia="Times New Roman" w:hAnsi="Open Sans" w:cs="Open Sans"/>
          <w:b/>
          <w:bCs/>
          <w:kern w:val="0"/>
          <w:sz w:val="27"/>
          <w:szCs w:val="27"/>
          <w:lang w:eastAsia="en-IN"/>
          <w14:ligatures w14:val="none"/>
        </w:rPr>
        <w:t xml:space="preserve">Can </w:t>
      </w:r>
      <w:proofErr w:type="spellStart"/>
      <w:r w:rsidRPr="00E72CD1">
        <w:rPr>
          <w:rFonts w:ascii="Open Sans" w:eastAsia="Times New Roman" w:hAnsi="Open Sans" w:cs="Open Sans"/>
          <w:b/>
          <w:bCs/>
          <w:kern w:val="0"/>
          <w:sz w:val="27"/>
          <w:szCs w:val="27"/>
          <w:lang w:eastAsia="en-IN"/>
          <w14:ligatures w14:val="none"/>
        </w:rPr>
        <w:t>ConsultAvenuee</w:t>
      </w:r>
      <w:proofErr w:type="spellEnd"/>
      <w:r w:rsidRPr="00E72CD1">
        <w:rPr>
          <w:rFonts w:ascii="Open Sans" w:eastAsia="Times New Roman" w:hAnsi="Open Sans" w:cs="Open Sans"/>
          <w:b/>
          <w:bCs/>
          <w:kern w:val="0"/>
          <w:sz w:val="27"/>
          <w:szCs w:val="27"/>
          <w:lang w:eastAsia="en-IN"/>
          <w14:ligatures w14:val="none"/>
        </w:rPr>
        <w:t xml:space="preserve"> handle the entire annual compliance process?</w:t>
      </w:r>
    </w:p>
    <w:p w14:paraId="465CAA57" w14:textId="77777777" w:rsidR="004C35F8" w:rsidRPr="00E72CD1" w:rsidRDefault="004C35F8" w:rsidP="004C35F8">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E72CD1">
        <w:rPr>
          <w:rFonts w:ascii="Open Sans" w:eastAsia="Times New Roman" w:hAnsi="Open Sans" w:cs="Open Sans"/>
          <w:kern w:val="0"/>
          <w:sz w:val="24"/>
          <w:szCs w:val="24"/>
          <w:lang w:eastAsia="en-IN"/>
          <w14:ligatures w14:val="none"/>
        </w:rPr>
        <w:t>Yes. We provide complete assistance from documentation, drafting, review, and filing of ROC forms to ongoing compliance support.</w:t>
      </w:r>
    </w:p>
    <w:sectPr w:rsidR="004C35F8" w:rsidRPr="00E72C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40703D"/>
    <w:multiLevelType w:val="multilevel"/>
    <w:tmpl w:val="4F34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577C0"/>
    <w:multiLevelType w:val="multilevel"/>
    <w:tmpl w:val="8A6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17F82"/>
    <w:multiLevelType w:val="multilevel"/>
    <w:tmpl w:val="0858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B37FB"/>
    <w:multiLevelType w:val="multilevel"/>
    <w:tmpl w:val="B7C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C34C09"/>
    <w:multiLevelType w:val="multilevel"/>
    <w:tmpl w:val="79D2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C7DAB"/>
    <w:multiLevelType w:val="multilevel"/>
    <w:tmpl w:val="CF44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24039"/>
    <w:multiLevelType w:val="multilevel"/>
    <w:tmpl w:val="1ED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23668"/>
    <w:multiLevelType w:val="multilevel"/>
    <w:tmpl w:val="D82E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F6DA1"/>
    <w:multiLevelType w:val="multilevel"/>
    <w:tmpl w:val="31D6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537C55"/>
    <w:multiLevelType w:val="multilevel"/>
    <w:tmpl w:val="25A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94A3F"/>
    <w:multiLevelType w:val="multilevel"/>
    <w:tmpl w:val="0FFA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A5227"/>
    <w:multiLevelType w:val="multilevel"/>
    <w:tmpl w:val="B5FC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271E58"/>
    <w:multiLevelType w:val="multilevel"/>
    <w:tmpl w:val="A336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962E4"/>
    <w:multiLevelType w:val="multilevel"/>
    <w:tmpl w:val="1CE84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555F2"/>
    <w:multiLevelType w:val="multilevel"/>
    <w:tmpl w:val="EC0E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653CA6"/>
    <w:multiLevelType w:val="multilevel"/>
    <w:tmpl w:val="BE76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4F4029"/>
    <w:multiLevelType w:val="multilevel"/>
    <w:tmpl w:val="56B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6"/>
  </w:num>
  <w:num w:numId="4">
    <w:abstractNumId w:val="15"/>
  </w:num>
  <w:num w:numId="5">
    <w:abstractNumId w:val="3"/>
  </w:num>
  <w:num w:numId="6">
    <w:abstractNumId w:val="5"/>
  </w:num>
  <w:num w:numId="7">
    <w:abstractNumId w:val="13"/>
  </w:num>
  <w:num w:numId="8">
    <w:abstractNumId w:val="2"/>
  </w:num>
  <w:num w:numId="9">
    <w:abstractNumId w:val="10"/>
  </w:num>
  <w:num w:numId="10">
    <w:abstractNumId w:val="16"/>
  </w:num>
  <w:num w:numId="11">
    <w:abstractNumId w:val="9"/>
  </w:num>
  <w:num w:numId="12">
    <w:abstractNumId w:val="14"/>
  </w:num>
  <w:num w:numId="13">
    <w:abstractNumId w:val="12"/>
  </w:num>
  <w:num w:numId="14">
    <w:abstractNumId w:val="4"/>
  </w:num>
  <w:num w:numId="15">
    <w:abstractNumId w:val="0"/>
  </w:num>
  <w:num w:numId="16">
    <w:abstractNumId w:val="7"/>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AA6"/>
    <w:rsid w:val="002000CC"/>
    <w:rsid w:val="003E1954"/>
    <w:rsid w:val="004C35F8"/>
    <w:rsid w:val="00812BD1"/>
    <w:rsid w:val="00A20AA6"/>
    <w:rsid w:val="00A8477F"/>
    <w:rsid w:val="00DA650D"/>
    <w:rsid w:val="00E72C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0D932"/>
  <w15:chartTrackingRefBased/>
  <w15:docId w15:val="{2DBF699B-F174-4E4E-97D9-C52A9DEE3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20A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A20AA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A20AA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A20AA6"/>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AA6"/>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A20AA6"/>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A20AA6"/>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A20AA6"/>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A20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A20AA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20AA6"/>
    <w:rPr>
      <w:b/>
      <w:bCs/>
    </w:rPr>
  </w:style>
  <w:style w:type="paragraph" w:styleId="ListParagraph">
    <w:name w:val="List Paragraph"/>
    <w:basedOn w:val="Normal"/>
    <w:uiPriority w:val="34"/>
    <w:qFormat/>
    <w:rsid w:val="004C35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8471856">
      <w:bodyDiv w:val="1"/>
      <w:marLeft w:val="0"/>
      <w:marRight w:val="0"/>
      <w:marTop w:val="0"/>
      <w:marBottom w:val="0"/>
      <w:divBdr>
        <w:top w:val="none" w:sz="0" w:space="0" w:color="auto"/>
        <w:left w:val="none" w:sz="0" w:space="0" w:color="auto"/>
        <w:bottom w:val="none" w:sz="0" w:space="0" w:color="auto"/>
        <w:right w:val="none" w:sz="0" w:space="0" w:color="auto"/>
      </w:divBdr>
    </w:div>
    <w:div w:id="889272215">
      <w:bodyDiv w:val="1"/>
      <w:marLeft w:val="0"/>
      <w:marRight w:val="0"/>
      <w:marTop w:val="0"/>
      <w:marBottom w:val="0"/>
      <w:divBdr>
        <w:top w:val="none" w:sz="0" w:space="0" w:color="auto"/>
        <w:left w:val="none" w:sz="0" w:space="0" w:color="auto"/>
        <w:bottom w:val="none" w:sz="0" w:space="0" w:color="auto"/>
        <w:right w:val="none" w:sz="0" w:space="0" w:color="auto"/>
      </w:divBdr>
      <w:divsChild>
        <w:div w:id="1994328599">
          <w:marLeft w:val="0"/>
          <w:marRight w:val="0"/>
          <w:marTop w:val="0"/>
          <w:marBottom w:val="0"/>
          <w:divBdr>
            <w:top w:val="none" w:sz="0" w:space="0" w:color="auto"/>
            <w:left w:val="none" w:sz="0" w:space="0" w:color="auto"/>
            <w:bottom w:val="none" w:sz="0" w:space="0" w:color="auto"/>
            <w:right w:val="none" w:sz="0" w:space="0" w:color="auto"/>
          </w:divBdr>
        </w:div>
        <w:div w:id="1968077833">
          <w:marLeft w:val="0"/>
          <w:marRight w:val="0"/>
          <w:marTop w:val="0"/>
          <w:marBottom w:val="0"/>
          <w:divBdr>
            <w:top w:val="none" w:sz="0" w:space="0" w:color="auto"/>
            <w:left w:val="none" w:sz="0" w:space="0" w:color="auto"/>
            <w:bottom w:val="none" w:sz="0" w:space="0" w:color="auto"/>
            <w:right w:val="none" w:sz="0" w:space="0" w:color="auto"/>
          </w:divBdr>
        </w:div>
        <w:div w:id="409428787">
          <w:marLeft w:val="0"/>
          <w:marRight w:val="0"/>
          <w:marTop w:val="0"/>
          <w:marBottom w:val="0"/>
          <w:divBdr>
            <w:top w:val="none" w:sz="0" w:space="0" w:color="auto"/>
            <w:left w:val="none" w:sz="0" w:space="0" w:color="auto"/>
            <w:bottom w:val="none" w:sz="0" w:space="0" w:color="auto"/>
            <w:right w:val="none" w:sz="0" w:space="0" w:color="auto"/>
          </w:divBdr>
        </w:div>
        <w:div w:id="750616178">
          <w:marLeft w:val="0"/>
          <w:marRight w:val="0"/>
          <w:marTop w:val="0"/>
          <w:marBottom w:val="0"/>
          <w:divBdr>
            <w:top w:val="none" w:sz="0" w:space="0" w:color="auto"/>
            <w:left w:val="none" w:sz="0" w:space="0" w:color="auto"/>
            <w:bottom w:val="none" w:sz="0" w:space="0" w:color="auto"/>
            <w:right w:val="none" w:sz="0" w:space="0" w:color="auto"/>
          </w:divBdr>
        </w:div>
        <w:div w:id="417870079">
          <w:marLeft w:val="0"/>
          <w:marRight w:val="0"/>
          <w:marTop w:val="0"/>
          <w:marBottom w:val="0"/>
          <w:divBdr>
            <w:top w:val="none" w:sz="0" w:space="0" w:color="auto"/>
            <w:left w:val="none" w:sz="0" w:space="0" w:color="auto"/>
            <w:bottom w:val="none" w:sz="0" w:space="0" w:color="auto"/>
            <w:right w:val="none" w:sz="0" w:space="0" w:color="auto"/>
          </w:divBdr>
        </w:div>
        <w:div w:id="377051862">
          <w:marLeft w:val="0"/>
          <w:marRight w:val="0"/>
          <w:marTop w:val="0"/>
          <w:marBottom w:val="0"/>
          <w:divBdr>
            <w:top w:val="none" w:sz="0" w:space="0" w:color="auto"/>
            <w:left w:val="none" w:sz="0" w:space="0" w:color="auto"/>
            <w:bottom w:val="none" w:sz="0" w:space="0" w:color="auto"/>
            <w:right w:val="none" w:sz="0" w:space="0" w:color="auto"/>
          </w:divBdr>
        </w:div>
        <w:div w:id="345060841">
          <w:marLeft w:val="0"/>
          <w:marRight w:val="0"/>
          <w:marTop w:val="0"/>
          <w:marBottom w:val="0"/>
          <w:divBdr>
            <w:top w:val="none" w:sz="0" w:space="0" w:color="auto"/>
            <w:left w:val="none" w:sz="0" w:space="0" w:color="auto"/>
            <w:bottom w:val="none" w:sz="0" w:space="0" w:color="auto"/>
            <w:right w:val="none" w:sz="0" w:space="0" w:color="auto"/>
          </w:divBdr>
        </w:div>
        <w:div w:id="1246914845">
          <w:marLeft w:val="0"/>
          <w:marRight w:val="0"/>
          <w:marTop w:val="0"/>
          <w:marBottom w:val="0"/>
          <w:divBdr>
            <w:top w:val="none" w:sz="0" w:space="0" w:color="auto"/>
            <w:left w:val="none" w:sz="0" w:space="0" w:color="auto"/>
            <w:bottom w:val="none" w:sz="0" w:space="0" w:color="auto"/>
            <w:right w:val="none" w:sz="0" w:space="0" w:color="auto"/>
          </w:divBdr>
        </w:div>
        <w:div w:id="7127270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4</cp:revision>
  <dcterms:created xsi:type="dcterms:W3CDTF">2026-06-05T10:12:00Z</dcterms:created>
  <dcterms:modified xsi:type="dcterms:W3CDTF">2026-06-05T11:28:00Z</dcterms:modified>
</cp:coreProperties>
</file>