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952182" w14:textId="5EA66AB5" w:rsidR="00BB0459" w:rsidRPr="008A4614" w:rsidRDefault="00BB0459" w:rsidP="00BB0459">
      <w:pPr>
        <w:spacing w:before="100" w:beforeAutospacing="1" w:after="100" w:afterAutospacing="1" w:line="240" w:lineRule="auto"/>
        <w:jc w:val="center"/>
        <w:outlineLvl w:val="0"/>
        <w:rPr>
          <w:rFonts w:ascii="Open Sans" w:eastAsia="Times New Roman" w:hAnsi="Open Sans" w:cs="Open Sans"/>
          <w:b/>
          <w:bCs/>
          <w:kern w:val="36"/>
          <w:sz w:val="52"/>
          <w:szCs w:val="52"/>
          <w:lang w:eastAsia="en-IN"/>
        </w:rPr>
      </w:pPr>
      <w:r w:rsidRPr="008A4614">
        <w:rPr>
          <w:rFonts w:ascii="Open Sans" w:eastAsia="Times New Roman" w:hAnsi="Open Sans" w:cs="Open Sans"/>
          <w:b/>
          <w:bCs/>
          <w:kern w:val="36"/>
          <w:sz w:val="48"/>
          <w:szCs w:val="48"/>
          <w:lang w:eastAsia="en-IN"/>
        </w:rPr>
        <w:t>GOODS AND SERVICES TAX (GST) RETURN</w:t>
      </w:r>
    </w:p>
    <w:p w14:paraId="24FBB7E7" w14:textId="77777777" w:rsidR="00570BD7" w:rsidRPr="008A4614" w:rsidRDefault="00570BD7" w:rsidP="00570BD7">
      <w:pPr>
        <w:spacing w:before="100" w:beforeAutospacing="1" w:after="100" w:afterAutospacing="1" w:line="240" w:lineRule="auto"/>
        <w:outlineLvl w:val="1"/>
        <w:rPr>
          <w:rFonts w:ascii="Open Sans" w:eastAsia="Times New Roman" w:hAnsi="Open Sans" w:cs="Open Sans"/>
          <w:b/>
          <w:bCs/>
          <w:sz w:val="36"/>
          <w:szCs w:val="36"/>
          <w:lang w:eastAsia="en-IN"/>
        </w:rPr>
      </w:pPr>
      <w:r w:rsidRPr="008A4614">
        <w:rPr>
          <w:rFonts w:ascii="Open Sans" w:eastAsia="Times New Roman" w:hAnsi="Open Sans" w:cs="Open Sans"/>
          <w:b/>
          <w:bCs/>
          <w:sz w:val="36"/>
          <w:szCs w:val="36"/>
          <w:lang w:eastAsia="en-IN"/>
        </w:rPr>
        <w:t>Goods and Services Tax (GST) Return Filing</w:t>
      </w:r>
    </w:p>
    <w:p w14:paraId="67CAE126"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Goods and Services Tax (GST) is a comprehensive indirect tax levied on the supply of goods and services across India. Every registered taxpayer under GST is required to file periodic GST returns containing details of sales, purchases, tax liability, and Input Tax Credit (ITC) claimed.</w:t>
      </w:r>
    </w:p>
    <w:p w14:paraId="6D2C4C8A"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 return filing is a critical compliance requirement that enables tax authorities to assess tax liability and monitor adherence to GST regulations.</w:t>
      </w:r>
    </w:p>
    <w:p w14:paraId="57812CE3"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 xml:space="preserve">At </w:t>
      </w:r>
      <w:proofErr w:type="spellStart"/>
      <w:r w:rsidRPr="008A4614">
        <w:rPr>
          <w:rFonts w:ascii="Open Sans" w:eastAsia="Times New Roman" w:hAnsi="Open Sans" w:cs="Open Sans"/>
          <w:sz w:val="24"/>
          <w:szCs w:val="24"/>
          <w:lang w:eastAsia="en-IN"/>
        </w:rPr>
        <w:t>ConsultAvenuee</w:t>
      </w:r>
      <w:proofErr w:type="spellEnd"/>
      <w:r w:rsidRPr="008A4614">
        <w:rPr>
          <w:rFonts w:ascii="Open Sans" w:eastAsia="Times New Roman" w:hAnsi="Open Sans" w:cs="Open Sans"/>
          <w:sz w:val="24"/>
          <w:szCs w:val="24"/>
          <w:lang w:eastAsia="en-IN"/>
        </w:rPr>
        <w:t>, we provide end-to-end GST compliance services including GST registration, return filing, GST reconciliations, ITC verification, notice handling, annual return filing, and advisory support.</w:t>
      </w:r>
    </w:p>
    <w:p w14:paraId="5850991B" w14:textId="77777777" w:rsidR="00570BD7" w:rsidRPr="008A4614" w:rsidRDefault="00570BD7" w:rsidP="00570BD7">
      <w:pPr>
        <w:spacing w:before="100" w:beforeAutospacing="1" w:after="100" w:afterAutospacing="1" w:line="240" w:lineRule="auto"/>
        <w:outlineLvl w:val="1"/>
        <w:rPr>
          <w:rFonts w:ascii="Open Sans" w:eastAsia="Times New Roman" w:hAnsi="Open Sans" w:cs="Open Sans"/>
          <w:b/>
          <w:bCs/>
          <w:sz w:val="36"/>
          <w:szCs w:val="36"/>
          <w:lang w:eastAsia="en-IN"/>
        </w:rPr>
      </w:pPr>
      <w:r w:rsidRPr="008A4614">
        <w:rPr>
          <w:rFonts w:ascii="Open Sans" w:eastAsia="Times New Roman" w:hAnsi="Open Sans" w:cs="Open Sans"/>
          <w:b/>
          <w:bCs/>
          <w:sz w:val="36"/>
          <w:szCs w:val="36"/>
          <w:lang w:eastAsia="en-IN"/>
        </w:rPr>
        <w:t>What is a GST Return?</w:t>
      </w:r>
    </w:p>
    <w:p w14:paraId="270E9360"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A GST Return is a statement filed with the GST authorities containing details of:</w:t>
      </w:r>
    </w:p>
    <w:p w14:paraId="7538994C" w14:textId="77777777" w:rsidR="00570BD7" w:rsidRPr="008A4614" w:rsidRDefault="00570BD7" w:rsidP="00570BD7">
      <w:pPr>
        <w:numPr>
          <w:ilvl w:val="0"/>
          <w:numId w:val="15"/>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Outward supplies (sales)</w:t>
      </w:r>
    </w:p>
    <w:p w14:paraId="175DE722" w14:textId="77777777" w:rsidR="00570BD7" w:rsidRPr="008A4614" w:rsidRDefault="00570BD7" w:rsidP="00570BD7">
      <w:pPr>
        <w:numPr>
          <w:ilvl w:val="0"/>
          <w:numId w:val="15"/>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Inward supplies (purchases)</w:t>
      </w:r>
    </w:p>
    <w:p w14:paraId="0878B3D5" w14:textId="77777777" w:rsidR="00570BD7" w:rsidRPr="008A4614" w:rsidRDefault="00570BD7" w:rsidP="00570BD7">
      <w:pPr>
        <w:numPr>
          <w:ilvl w:val="0"/>
          <w:numId w:val="15"/>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Output GST liability</w:t>
      </w:r>
    </w:p>
    <w:p w14:paraId="1997B9DD" w14:textId="77777777" w:rsidR="00570BD7" w:rsidRPr="008A4614" w:rsidRDefault="00570BD7" w:rsidP="00570BD7">
      <w:pPr>
        <w:numPr>
          <w:ilvl w:val="0"/>
          <w:numId w:val="15"/>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Input Tax Credit (ITC) claimed</w:t>
      </w:r>
    </w:p>
    <w:p w14:paraId="6CC211B3" w14:textId="77777777" w:rsidR="00570BD7" w:rsidRPr="008A4614" w:rsidRDefault="00570BD7" w:rsidP="00570BD7">
      <w:pPr>
        <w:numPr>
          <w:ilvl w:val="0"/>
          <w:numId w:val="15"/>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Tax payments made</w:t>
      </w:r>
    </w:p>
    <w:p w14:paraId="6C2DE5A1" w14:textId="77777777" w:rsidR="00570BD7" w:rsidRPr="008A4614" w:rsidRDefault="00570BD7" w:rsidP="00570BD7">
      <w:pPr>
        <w:numPr>
          <w:ilvl w:val="0"/>
          <w:numId w:val="15"/>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Other prescribed information</w:t>
      </w:r>
    </w:p>
    <w:p w14:paraId="37CF3704"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 returns are filed electronically through the GST Portal and form the basis for determining tax liability and eligibility for Input Tax Credit.</w:t>
      </w:r>
    </w:p>
    <w:p w14:paraId="4511FCA4" w14:textId="77777777" w:rsidR="00570BD7" w:rsidRPr="008A4614" w:rsidRDefault="00570BD7" w:rsidP="00570BD7">
      <w:pPr>
        <w:spacing w:before="100" w:beforeAutospacing="1" w:after="100" w:afterAutospacing="1" w:line="240" w:lineRule="auto"/>
        <w:outlineLvl w:val="1"/>
        <w:rPr>
          <w:rFonts w:ascii="Open Sans" w:eastAsia="Times New Roman" w:hAnsi="Open Sans" w:cs="Open Sans"/>
          <w:b/>
          <w:bCs/>
          <w:sz w:val="36"/>
          <w:szCs w:val="36"/>
          <w:lang w:eastAsia="en-IN"/>
        </w:rPr>
      </w:pPr>
      <w:r w:rsidRPr="008A4614">
        <w:rPr>
          <w:rFonts w:ascii="Open Sans" w:eastAsia="Times New Roman" w:hAnsi="Open Sans" w:cs="Open Sans"/>
          <w:b/>
          <w:bCs/>
          <w:sz w:val="36"/>
          <w:szCs w:val="36"/>
          <w:lang w:eastAsia="en-IN"/>
        </w:rPr>
        <w:t>Benefits of GST Compliance</w:t>
      </w:r>
    </w:p>
    <w:p w14:paraId="5E15FDC3"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Proper GST compliance helps businesses:</w:t>
      </w:r>
    </w:p>
    <w:p w14:paraId="0CB5080C" w14:textId="77777777" w:rsidR="00570BD7" w:rsidRPr="008A4614" w:rsidRDefault="00570BD7" w:rsidP="00570BD7">
      <w:pPr>
        <w:numPr>
          <w:ilvl w:val="0"/>
          <w:numId w:val="16"/>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Claim eligible Input Tax Credit (ITC)</w:t>
      </w:r>
    </w:p>
    <w:p w14:paraId="18025E8C" w14:textId="77777777" w:rsidR="00570BD7" w:rsidRPr="008A4614" w:rsidRDefault="00570BD7" w:rsidP="00570BD7">
      <w:pPr>
        <w:numPr>
          <w:ilvl w:val="0"/>
          <w:numId w:val="16"/>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Avoid penalties and late fees</w:t>
      </w:r>
    </w:p>
    <w:p w14:paraId="2DF1DE74" w14:textId="77777777" w:rsidR="00570BD7" w:rsidRPr="008A4614" w:rsidRDefault="00570BD7" w:rsidP="00570BD7">
      <w:pPr>
        <w:numPr>
          <w:ilvl w:val="0"/>
          <w:numId w:val="16"/>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Improve business credibility</w:t>
      </w:r>
    </w:p>
    <w:p w14:paraId="32EFC775" w14:textId="77777777" w:rsidR="00570BD7" w:rsidRPr="008A4614" w:rsidRDefault="00570BD7" w:rsidP="00570BD7">
      <w:pPr>
        <w:numPr>
          <w:ilvl w:val="0"/>
          <w:numId w:val="16"/>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Maintain smooth vendor and customer relationships</w:t>
      </w:r>
    </w:p>
    <w:p w14:paraId="33C399A3" w14:textId="77777777" w:rsidR="00570BD7" w:rsidRPr="008A4614" w:rsidRDefault="00570BD7" w:rsidP="00570BD7">
      <w:pPr>
        <w:numPr>
          <w:ilvl w:val="0"/>
          <w:numId w:val="16"/>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Reduce the risk of notices and assessments</w:t>
      </w:r>
    </w:p>
    <w:p w14:paraId="71E9DCA7" w14:textId="77777777" w:rsidR="00570BD7" w:rsidRPr="008A4614" w:rsidRDefault="00570BD7" w:rsidP="00570BD7">
      <w:pPr>
        <w:numPr>
          <w:ilvl w:val="0"/>
          <w:numId w:val="16"/>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lastRenderedPageBreak/>
        <w:t>Ensure uninterrupted business operations</w:t>
      </w:r>
    </w:p>
    <w:p w14:paraId="548DF924" w14:textId="77777777" w:rsidR="00570BD7" w:rsidRPr="008A4614" w:rsidRDefault="00570BD7" w:rsidP="00570BD7">
      <w:pPr>
        <w:spacing w:before="100" w:beforeAutospacing="1" w:after="100" w:afterAutospacing="1" w:line="240" w:lineRule="auto"/>
        <w:outlineLvl w:val="1"/>
        <w:rPr>
          <w:rFonts w:ascii="Open Sans" w:eastAsia="Times New Roman" w:hAnsi="Open Sans" w:cs="Open Sans"/>
          <w:b/>
          <w:bCs/>
          <w:sz w:val="36"/>
          <w:szCs w:val="36"/>
          <w:lang w:eastAsia="en-IN"/>
        </w:rPr>
      </w:pPr>
      <w:r w:rsidRPr="008A4614">
        <w:rPr>
          <w:rFonts w:ascii="Open Sans" w:eastAsia="Times New Roman" w:hAnsi="Open Sans" w:cs="Open Sans"/>
          <w:b/>
          <w:bCs/>
          <w:sz w:val="36"/>
          <w:szCs w:val="36"/>
          <w:lang w:eastAsia="en-IN"/>
        </w:rPr>
        <w:t>Types of GST Returns</w:t>
      </w:r>
    </w:p>
    <w:p w14:paraId="659BB93C"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Different GST return forms are prescribed depending upon the category of taxpayer.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5134"/>
        <w:gridCol w:w="2276"/>
      </w:tblGrid>
      <w:tr w:rsidR="00570BD7" w:rsidRPr="008A4614" w14:paraId="0B5179D5" w14:textId="77777777" w:rsidTr="00570BD7">
        <w:trPr>
          <w:tblCellSpacing w:w="15" w:type="dxa"/>
        </w:trPr>
        <w:tc>
          <w:tcPr>
            <w:tcW w:w="0" w:type="auto"/>
            <w:vAlign w:val="center"/>
            <w:hideMark/>
          </w:tcPr>
          <w:p w14:paraId="221E26DD" w14:textId="77777777" w:rsidR="00570BD7" w:rsidRPr="008A4614" w:rsidRDefault="00570BD7" w:rsidP="00570BD7">
            <w:pPr>
              <w:spacing w:after="0" w:line="240" w:lineRule="auto"/>
              <w:jc w:val="center"/>
              <w:rPr>
                <w:rFonts w:ascii="Open Sans" w:eastAsia="Times New Roman" w:hAnsi="Open Sans" w:cs="Open Sans"/>
                <w:b/>
                <w:bCs/>
                <w:sz w:val="24"/>
                <w:szCs w:val="24"/>
                <w:lang w:eastAsia="en-IN"/>
              </w:rPr>
            </w:pPr>
            <w:r w:rsidRPr="008A4614">
              <w:rPr>
                <w:rFonts w:ascii="Open Sans" w:eastAsia="Times New Roman" w:hAnsi="Open Sans" w:cs="Open Sans"/>
                <w:b/>
                <w:bCs/>
                <w:sz w:val="24"/>
                <w:szCs w:val="24"/>
                <w:lang w:eastAsia="en-IN"/>
              </w:rPr>
              <w:t>GST Return</w:t>
            </w:r>
          </w:p>
        </w:tc>
        <w:tc>
          <w:tcPr>
            <w:tcW w:w="0" w:type="auto"/>
            <w:vAlign w:val="center"/>
            <w:hideMark/>
          </w:tcPr>
          <w:p w14:paraId="79C5AD9F" w14:textId="77777777" w:rsidR="00570BD7" w:rsidRPr="008A4614" w:rsidRDefault="00570BD7" w:rsidP="00570BD7">
            <w:pPr>
              <w:spacing w:after="0" w:line="240" w:lineRule="auto"/>
              <w:jc w:val="center"/>
              <w:rPr>
                <w:rFonts w:ascii="Open Sans" w:eastAsia="Times New Roman" w:hAnsi="Open Sans" w:cs="Open Sans"/>
                <w:b/>
                <w:bCs/>
                <w:sz w:val="24"/>
                <w:szCs w:val="24"/>
                <w:lang w:eastAsia="en-IN"/>
              </w:rPr>
            </w:pPr>
            <w:r w:rsidRPr="008A4614">
              <w:rPr>
                <w:rFonts w:ascii="Open Sans" w:eastAsia="Times New Roman" w:hAnsi="Open Sans" w:cs="Open Sans"/>
                <w:b/>
                <w:bCs/>
                <w:sz w:val="24"/>
                <w:szCs w:val="24"/>
                <w:lang w:eastAsia="en-IN"/>
              </w:rPr>
              <w:t>Applicable To</w:t>
            </w:r>
          </w:p>
        </w:tc>
        <w:tc>
          <w:tcPr>
            <w:tcW w:w="0" w:type="auto"/>
            <w:vAlign w:val="center"/>
            <w:hideMark/>
          </w:tcPr>
          <w:p w14:paraId="2FA29596" w14:textId="77777777" w:rsidR="00570BD7" w:rsidRPr="008A4614" w:rsidRDefault="00570BD7" w:rsidP="00570BD7">
            <w:pPr>
              <w:spacing w:after="0" w:line="240" w:lineRule="auto"/>
              <w:jc w:val="center"/>
              <w:rPr>
                <w:rFonts w:ascii="Open Sans" w:eastAsia="Times New Roman" w:hAnsi="Open Sans" w:cs="Open Sans"/>
                <w:b/>
                <w:bCs/>
                <w:sz w:val="24"/>
                <w:szCs w:val="24"/>
                <w:lang w:eastAsia="en-IN"/>
              </w:rPr>
            </w:pPr>
            <w:r w:rsidRPr="008A4614">
              <w:rPr>
                <w:rFonts w:ascii="Open Sans" w:eastAsia="Times New Roman" w:hAnsi="Open Sans" w:cs="Open Sans"/>
                <w:b/>
                <w:bCs/>
                <w:sz w:val="24"/>
                <w:szCs w:val="24"/>
                <w:lang w:eastAsia="en-IN"/>
              </w:rPr>
              <w:t>Frequency</w:t>
            </w:r>
          </w:p>
        </w:tc>
      </w:tr>
      <w:tr w:rsidR="00570BD7" w:rsidRPr="008A4614" w14:paraId="7EDCC63B" w14:textId="77777777" w:rsidTr="00570BD7">
        <w:trPr>
          <w:tblCellSpacing w:w="15" w:type="dxa"/>
        </w:trPr>
        <w:tc>
          <w:tcPr>
            <w:tcW w:w="0" w:type="auto"/>
            <w:vAlign w:val="center"/>
            <w:hideMark/>
          </w:tcPr>
          <w:p w14:paraId="4FBB87CA"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GSTR-1</w:t>
            </w:r>
          </w:p>
        </w:tc>
        <w:tc>
          <w:tcPr>
            <w:tcW w:w="0" w:type="auto"/>
            <w:vAlign w:val="center"/>
            <w:hideMark/>
          </w:tcPr>
          <w:p w14:paraId="68553F0D"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Details of Outward Supplies</w:t>
            </w:r>
          </w:p>
        </w:tc>
        <w:tc>
          <w:tcPr>
            <w:tcW w:w="0" w:type="auto"/>
            <w:vAlign w:val="center"/>
            <w:hideMark/>
          </w:tcPr>
          <w:p w14:paraId="2960BA6E"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Monthly / Quarterly</w:t>
            </w:r>
          </w:p>
        </w:tc>
      </w:tr>
      <w:tr w:rsidR="00570BD7" w:rsidRPr="008A4614" w14:paraId="6F27D667" w14:textId="77777777" w:rsidTr="00570BD7">
        <w:trPr>
          <w:tblCellSpacing w:w="15" w:type="dxa"/>
        </w:trPr>
        <w:tc>
          <w:tcPr>
            <w:tcW w:w="0" w:type="auto"/>
            <w:vAlign w:val="center"/>
            <w:hideMark/>
          </w:tcPr>
          <w:p w14:paraId="76ADAF14"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GSTR-3B</w:t>
            </w:r>
          </w:p>
        </w:tc>
        <w:tc>
          <w:tcPr>
            <w:tcW w:w="0" w:type="auto"/>
            <w:vAlign w:val="center"/>
            <w:hideMark/>
          </w:tcPr>
          <w:p w14:paraId="002296F8"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Summary Return and Tax Payment</w:t>
            </w:r>
          </w:p>
        </w:tc>
        <w:tc>
          <w:tcPr>
            <w:tcW w:w="0" w:type="auto"/>
            <w:vAlign w:val="center"/>
            <w:hideMark/>
          </w:tcPr>
          <w:p w14:paraId="4A064F95"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Monthly / Quarterly</w:t>
            </w:r>
          </w:p>
        </w:tc>
      </w:tr>
      <w:tr w:rsidR="00570BD7" w:rsidRPr="008A4614" w14:paraId="0752B2F7" w14:textId="77777777" w:rsidTr="00570BD7">
        <w:trPr>
          <w:tblCellSpacing w:w="15" w:type="dxa"/>
        </w:trPr>
        <w:tc>
          <w:tcPr>
            <w:tcW w:w="0" w:type="auto"/>
            <w:vAlign w:val="center"/>
            <w:hideMark/>
          </w:tcPr>
          <w:p w14:paraId="66591C62"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CMP-08</w:t>
            </w:r>
          </w:p>
        </w:tc>
        <w:tc>
          <w:tcPr>
            <w:tcW w:w="0" w:type="auto"/>
            <w:vAlign w:val="center"/>
            <w:hideMark/>
          </w:tcPr>
          <w:p w14:paraId="03A2DC42"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Composition Scheme Taxpayers</w:t>
            </w:r>
          </w:p>
        </w:tc>
        <w:tc>
          <w:tcPr>
            <w:tcW w:w="0" w:type="auto"/>
            <w:vAlign w:val="center"/>
            <w:hideMark/>
          </w:tcPr>
          <w:p w14:paraId="19E87EBC"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Quarterly</w:t>
            </w:r>
          </w:p>
        </w:tc>
      </w:tr>
      <w:tr w:rsidR="00570BD7" w:rsidRPr="008A4614" w14:paraId="15D4604B" w14:textId="77777777" w:rsidTr="00570BD7">
        <w:trPr>
          <w:tblCellSpacing w:w="15" w:type="dxa"/>
        </w:trPr>
        <w:tc>
          <w:tcPr>
            <w:tcW w:w="0" w:type="auto"/>
            <w:vAlign w:val="center"/>
            <w:hideMark/>
          </w:tcPr>
          <w:p w14:paraId="0AA857D8"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GSTR-4</w:t>
            </w:r>
          </w:p>
        </w:tc>
        <w:tc>
          <w:tcPr>
            <w:tcW w:w="0" w:type="auto"/>
            <w:vAlign w:val="center"/>
            <w:hideMark/>
          </w:tcPr>
          <w:p w14:paraId="773EB017"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Composition Taxpayers</w:t>
            </w:r>
          </w:p>
        </w:tc>
        <w:tc>
          <w:tcPr>
            <w:tcW w:w="0" w:type="auto"/>
            <w:vAlign w:val="center"/>
            <w:hideMark/>
          </w:tcPr>
          <w:p w14:paraId="3AF64C28"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Annually</w:t>
            </w:r>
          </w:p>
        </w:tc>
      </w:tr>
      <w:tr w:rsidR="00570BD7" w:rsidRPr="008A4614" w14:paraId="2098125E" w14:textId="77777777" w:rsidTr="00570BD7">
        <w:trPr>
          <w:tblCellSpacing w:w="15" w:type="dxa"/>
        </w:trPr>
        <w:tc>
          <w:tcPr>
            <w:tcW w:w="0" w:type="auto"/>
            <w:vAlign w:val="center"/>
            <w:hideMark/>
          </w:tcPr>
          <w:p w14:paraId="0F7ED4D9"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GSTR-5</w:t>
            </w:r>
          </w:p>
        </w:tc>
        <w:tc>
          <w:tcPr>
            <w:tcW w:w="0" w:type="auto"/>
            <w:vAlign w:val="center"/>
            <w:hideMark/>
          </w:tcPr>
          <w:p w14:paraId="0FB833C5"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Non-Resident Taxable Persons</w:t>
            </w:r>
          </w:p>
        </w:tc>
        <w:tc>
          <w:tcPr>
            <w:tcW w:w="0" w:type="auto"/>
            <w:vAlign w:val="center"/>
            <w:hideMark/>
          </w:tcPr>
          <w:p w14:paraId="28A6C31E"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Monthly</w:t>
            </w:r>
          </w:p>
        </w:tc>
      </w:tr>
      <w:tr w:rsidR="00570BD7" w:rsidRPr="008A4614" w14:paraId="5F9E8A5A" w14:textId="77777777" w:rsidTr="00570BD7">
        <w:trPr>
          <w:tblCellSpacing w:w="15" w:type="dxa"/>
        </w:trPr>
        <w:tc>
          <w:tcPr>
            <w:tcW w:w="0" w:type="auto"/>
            <w:vAlign w:val="center"/>
            <w:hideMark/>
          </w:tcPr>
          <w:p w14:paraId="05056A08"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GSTR-5A</w:t>
            </w:r>
          </w:p>
        </w:tc>
        <w:tc>
          <w:tcPr>
            <w:tcW w:w="0" w:type="auto"/>
            <w:vAlign w:val="center"/>
            <w:hideMark/>
          </w:tcPr>
          <w:p w14:paraId="3BC16C21"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OIDAR Service Providers</w:t>
            </w:r>
          </w:p>
        </w:tc>
        <w:tc>
          <w:tcPr>
            <w:tcW w:w="0" w:type="auto"/>
            <w:vAlign w:val="center"/>
            <w:hideMark/>
          </w:tcPr>
          <w:p w14:paraId="065E02D0"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Monthly</w:t>
            </w:r>
          </w:p>
        </w:tc>
      </w:tr>
      <w:tr w:rsidR="00570BD7" w:rsidRPr="008A4614" w14:paraId="037D618B" w14:textId="77777777" w:rsidTr="00570BD7">
        <w:trPr>
          <w:tblCellSpacing w:w="15" w:type="dxa"/>
        </w:trPr>
        <w:tc>
          <w:tcPr>
            <w:tcW w:w="0" w:type="auto"/>
            <w:vAlign w:val="center"/>
            <w:hideMark/>
          </w:tcPr>
          <w:p w14:paraId="602E7FA7"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GSTR-6</w:t>
            </w:r>
          </w:p>
        </w:tc>
        <w:tc>
          <w:tcPr>
            <w:tcW w:w="0" w:type="auto"/>
            <w:vAlign w:val="center"/>
            <w:hideMark/>
          </w:tcPr>
          <w:p w14:paraId="72E40527"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Input Service Distributors (ISD)</w:t>
            </w:r>
          </w:p>
        </w:tc>
        <w:tc>
          <w:tcPr>
            <w:tcW w:w="0" w:type="auto"/>
            <w:vAlign w:val="center"/>
            <w:hideMark/>
          </w:tcPr>
          <w:p w14:paraId="30A6A10E"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Monthly</w:t>
            </w:r>
          </w:p>
        </w:tc>
      </w:tr>
      <w:tr w:rsidR="00570BD7" w:rsidRPr="008A4614" w14:paraId="25466336" w14:textId="77777777" w:rsidTr="00570BD7">
        <w:trPr>
          <w:tblCellSpacing w:w="15" w:type="dxa"/>
        </w:trPr>
        <w:tc>
          <w:tcPr>
            <w:tcW w:w="0" w:type="auto"/>
            <w:vAlign w:val="center"/>
            <w:hideMark/>
          </w:tcPr>
          <w:p w14:paraId="7C13C199"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GSTR-7</w:t>
            </w:r>
          </w:p>
        </w:tc>
        <w:tc>
          <w:tcPr>
            <w:tcW w:w="0" w:type="auto"/>
            <w:vAlign w:val="center"/>
            <w:hideMark/>
          </w:tcPr>
          <w:p w14:paraId="1CF6FBF3"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 xml:space="preserve">GST TDS </w:t>
            </w:r>
            <w:proofErr w:type="spellStart"/>
            <w:r w:rsidRPr="008A4614">
              <w:rPr>
                <w:rFonts w:ascii="Open Sans" w:eastAsia="Times New Roman" w:hAnsi="Open Sans" w:cs="Open Sans"/>
                <w:sz w:val="24"/>
                <w:szCs w:val="24"/>
                <w:lang w:eastAsia="en-IN"/>
              </w:rPr>
              <w:t>Deductors</w:t>
            </w:r>
            <w:proofErr w:type="spellEnd"/>
          </w:p>
        </w:tc>
        <w:tc>
          <w:tcPr>
            <w:tcW w:w="0" w:type="auto"/>
            <w:vAlign w:val="center"/>
            <w:hideMark/>
          </w:tcPr>
          <w:p w14:paraId="4A2C6C5F"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Monthly</w:t>
            </w:r>
          </w:p>
        </w:tc>
      </w:tr>
      <w:tr w:rsidR="00570BD7" w:rsidRPr="008A4614" w14:paraId="157D0A34" w14:textId="77777777" w:rsidTr="00570BD7">
        <w:trPr>
          <w:tblCellSpacing w:w="15" w:type="dxa"/>
        </w:trPr>
        <w:tc>
          <w:tcPr>
            <w:tcW w:w="0" w:type="auto"/>
            <w:vAlign w:val="center"/>
            <w:hideMark/>
          </w:tcPr>
          <w:p w14:paraId="1858DB46"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GSTR-8</w:t>
            </w:r>
          </w:p>
        </w:tc>
        <w:tc>
          <w:tcPr>
            <w:tcW w:w="0" w:type="auto"/>
            <w:vAlign w:val="center"/>
            <w:hideMark/>
          </w:tcPr>
          <w:p w14:paraId="23E0B8F0"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E-Commerce Operators Collecting TCS</w:t>
            </w:r>
          </w:p>
        </w:tc>
        <w:tc>
          <w:tcPr>
            <w:tcW w:w="0" w:type="auto"/>
            <w:vAlign w:val="center"/>
            <w:hideMark/>
          </w:tcPr>
          <w:p w14:paraId="7F23A4FA"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Monthly</w:t>
            </w:r>
          </w:p>
        </w:tc>
      </w:tr>
      <w:tr w:rsidR="00570BD7" w:rsidRPr="008A4614" w14:paraId="25B63748" w14:textId="77777777" w:rsidTr="00570BD7">
        <w:trPr>
          <w:tblCellSpacing w:w="15" w:type="dxa"/>
        </w:trPr>
        <w:tc>
          <w:tcPr>
            <w:tcW w:w="0" w:type="auto"/>
            <w:vAlign w:val="center"/>
            <w:hideMark/>
          </w:tcPr>
          <w:p w14:paraId="78FD1845"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GSTR-9</w:t>
            </w:r>
          </w:p>
        </w:tc>
        <w:tc>
          <w:tcPr>
            <w:tcW w:w="0" w:type="auto"/>
            <w:vAlign w:val="center"/>
            <w:hideMark/>
          </w:tcPr>
          <w:p w14:paraId="209915CA"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Annual Return</w:t>
            </w:r>
          </w:p>
        </w:tc>
        <w:tc>
          <w:tcPr>
            <w:tcW w:w="0" w:type="auto"/>
            <w:vAlign w:val="center"/>
            <w:hideMark/>
          </w:tcPr>
          <w:p w14:paraId="2BE5B0A3"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Annually</w:t>
            </w:r>
          </w:p>
        </w:tc>
      </w:tr>
      <w:tr w:rsidR="00570BD7" w:rsidRPr="008A4614" w14:paraId="06E0693D" w14:textId="77777777" w:rsidTr="00570BD7">
        <w:trPr>
          <w:tblCellSpacing w:w="15" w:type="dxa"/>
        </w:trPr>
        <w:tc>
          <w:tcPr>
            <w:tcW w:w="0" w:type="auto"/>
            <w:vAlign w:val="center"/>
            <w:hideMark/>
          </w:tcPr>
          <w:p w14:paraId="5A73855E"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GSTR-9C</w:t>
            </w:r>
          </w:p>
        </w:tc>
        <w:tc>
          <w:tcPr>
            <w:tcW w:w="0" w:type="auto"/>
            <w:vAlign w:val="center"/>
            <w:hideMark/>
          </w:tcPr>
          <w:p w14:paraId="1CD05A8A"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Reconciliation Statement (where applicable)</w:t>
            </w:r>
          </w:p>
        </w:tc>
        <w:tc>
          <w:tcPr>
            <w:tcW w:w="0" w:type="auto"/>
            <w:vAlign w:val="center"/>
            <w:hideMark/>
          </w:tcPr>
          <w:p w14:paraId="002E2F7C"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Annually</w:t>
            </w:r>
          </w:p>
        </w:tc>
      </w:tr>
      <w:tr w:rsidR="00570BD7" w:rsidRPr="008A4614" w14:paraId="2A116F72" w14:textId="77777777" w:rsidTr="00570BD7">
        <w:trPr>
          <w:tblCellSpacing w:w="15" w:type="dxa"/>
        </w:trPr>
        <w:tc>
          <w:tcPr>
            <w:tcW w:w="0" w:type="auto"/>
            <w:vAlign w:val="center"/>
            <w:hideMark/>
          </w:tcPr>
          <w:p w14:paraId="6A31FDAF"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GSTR-10</w:t>
            </w:r>
          </w:p>
        </w:tc>
        <w:tc>
          <w:tcPr>
            <w:tcW w:w="0" w:type="auto"/>
            <w:vAlign w:val="center"/>
            <w:hideMark/>
          </w:tcPr>
          <w:p w14:paraId="1ADE1775"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Final Return after Cancellation of Registration</w:t>
            </w:r>
          </w:p>
        </w:tc>
        <w:tc>
          <w:tcPr>
            <w:tcW w:w="0" w:type="auto"/>
            <w:vAlign w:val="center"/>
            <w:hideMark/>
          </w:tcPr>
          <w:p w14:paraId="5536957B"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One-Time</w:t>
            </w:r>
          </w:p>
        </w:tc>
      </w:tr>
      <w:tr w:rsidR="00570BD7" w:rsidRPr="008A4614" w14:paraId="0962D540" w14:textId="77777777" w:rsidTr="00570BD7">
        <w:trPr>
          <w:tblCellSpacing w:w="15" w:type="dxa"/>
        </w:trPr>
        <w:tc>
          <w:tcPr>
            <w:tcW w:w="0" w:type="auto"/>
            <w:vAlign w:val="center"/>
            <w:hideMark/>
          </w:tcPr>
          <w:p w14:paraId="79ED2122"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GSTR-11</w:t>
            </w:r>
          </w:p>
        </w:tc>
        <w:tc>
          <w:tcPr>
            <w:tcW w:w="0" w:type="auto"/>
            <w:vAlign w:val="center"/>
            <w:hideMark/>
          </w:tcPr>
          <w:p w14:paraId="191D0273"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UIN Holders (Embassies, UN Bodies, etc.)</w:t>
            </w:r>
          </w:p>
        </w:tc>
        <w:tc>
          <w:tcPr>
            <w:tcW w:w="0" w:type="auto"/>
            <w:vAlign w:val="center"/>
            <w:hideMark/>
          </w:tcPr>
          <w:p w14:paraId="08F3BB3D"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As Applicable</w:t>
            </w:r>
          </w:p>
        </w:tc>
      </w:tr>
      <w:tr w:rsidR="00570BD7" w:rsidRPr="008A4614" w14:paraId="02481BBC" w14:textId="77777777" w:rsidTr="00570BD7">
        <w:trPr>
          <w:tblCellSpacing w:w="15" w:type="dxa"/>
        </w:trPr>
        <w:tc>
          <w:tcPr>
            <w:tcW w:w="0" w:type="auto"/>
            <w:vAlign w:val="center"/>
            <w:hideMark/>
          </w:tcPr>
          <w:p w14:paraId="2F9BB3AB"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ITC-04</w:t>
            </w:r>
          </w:p>
        </w:tc>
        <w:tc>
          <w:tcPr>
            <w:tcW w:w="0" w:type="auto"/>
            <w:vAlign w:val="center"/>
            <w:hideMark/>
          </w:tcPr>
          <w:p w14:paraId="0348828A"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Job Work Transactions</w:t>
            </w:r>
          </w:p>
        </w:tc>
        <w:tc>
          <w:tcPr>
            <w:tcW w:w="0" w:type="auto"/>
            <w:vAlign w:val="center"/>
            <w:hideMark/>
          </w:tcPr>
          <w:p w14:paraId="0FC48C54" w14:textId="77777777" w:rsidR="00570BD7" w:rsidRPr="008A4614" w:rsidRDefault="00570BD7" w:rsidP="00570BD7">
            <w:pPr>
              <w:spacing w:after="0"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As Applicable</w:t>
            </w:r>
          </w:p>
        </w:tc>
      </w:tr>
    </w:tbl>
    <w:p w14:paraId="32CCB495" w14:textId="77777777" w:rsidR="00570BD7" w:rsidRPr="008A4614" w:rsidRDefault="00570BD7" w:rsidP="00570BD7">
      <w:pPr>
        <w:spacing w:before="100" w:beforeAutospacing="1" w:after="100" w:afterAutospacing="1" w:line="240" w:lineRule="auto"/>
        <w:outlineLvl w:val="1"/>
        <w:rPr>
          <w:rFonts w:ascii="Open Sans" w:eastAsia="Times New Roman" w:hAnsi="Open Sans" w:cs="Open Sans"/>
          <w:b/>
          <w:bCs/>
          <w:sz w:val="36"/>
          <w:szCs w:val="36"/>
          <w:lang w:eastAsia="en-IN"/>
        </w:rPr>
      </w:pPr>
      <w:r w:rsidRPr="008A4614">
        <w:rPr>
          <w:rFonts w:ascii="Open Sans" w:eastAsia="Times New Roman" w:hAnsi="Open Sans" w:cs="Open Sans"/>
          <w:b/>
          <w:bCs/>
          <w:sz w:val="36"/>
          <w:szCs w:val="36"/>
          <w:lang w:eastAsia="en-IN"/>
        </w:rPr>
        <w:t>Common GST Returns Filed by Businesses</w:t>
      </w:r>
    </w:p>
    <w:p w14:paraId="72389137"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The following GST returns are most commonly filed:</w:t>
      </w:r>
    </w:p>
    <w:p w14:paraId="7F27EA0E" w14:textId="77777777" w:rsidR="00570BD7" w:rsidRPr="008A4614" w:rsidRDefault="00570BD7" w:rsidP="00570BD7">
      <w:pPr>
        <w:numPr>
          <w:ilvl w:val="0"/>
          <w:numId w:val="17"/>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GSTR-1 – Details of outward supplies</w:t>
      </w:r>
    </w:p>
    <w:p w14:paraId="394B1DB0" w14:textId="77777777" w:rsidR="00570BD7" w:rsidRPr="008A4614" w:rsidRDefault="00570BD7" w:rsidP="00570BD7">
      <w:pPr>
        <w:numPr>
          <w:ilvl w:val="0"/>
          <w:numId w:val="17"/>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GSTR-3B – Monthly/Quarterly summary return</w:t>
      </w:r>
    </w:p>
    <w:p w14:paraId="11BEB37F" w14:textId="77777777" w:rsidR="00570BD7" w:rsidRPr="008A4614" w:rsidRDefault="00570BD7" w:rsidP="00570BD7">
      <w:pPr>
        <w:numPr>
          <w:ilvl w:val="0"/>
          <w:numId w:val="17"/>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CMP-08 – Composition Scheme tax payment statement</w:t>
      </w:r>
    </w:p>
    <w:p w14:paraId="5BF8B859" w14:textId="77777777" w:rsidR="00570BD7" w:rsidRPr="008A4614" w:rsidRDefault="00570BD7" w:rsidP="00570BD7">
      <w:pPr>
        <w:numPr>
          <w:ilvl w:val="0"/>
          <w:numId w:val="17"/>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GSTR-4 – Annual return for composition taxpayers</w:t>
      </w:r>
    </w:p>
    <w:p w14:paraId="6FC5046C" w14:textId="77777777" w:rsidR="00570BD7" w:rsidRPr="008A4614" w:rsidRDefault="00570BD7" w:rsidP="00570BD7">
      <w:pPr>
        <w:numPr>
          <w:ilvl w:val="0"/>
          <w:numId w:val="17"/>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GSTR-9 – Annual GST return</w:t>
      </w:r>
    </w:p>
    <w:p w14:paraId="7447981F" w14:textId="77777777" w:rsidR="00570BD7" w:rsidRPr="008A4614" w:rsidRDefault="00570BD7" w:rsidP="00570BD7">
      <w:pPr>
        <w:numPr>
          <w:ilvl w:val="0"/>
          <w:numId w:val="17"/>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GSTR-9C – Reconciliation statement, where applicable</w:t>
      </w:r>
    </w:p>
    <w:p w14:paraId="79A3C4E2" w14:textId="77777777" w:rsidR="00570BD7" w:rsidRPr="008A4614" w:rsidRDefault="00570BD7" w:rsidP="00570BD7">
      <w:pPr>
        <w:numPr>
          <w:ilvl w:val="0"/>
          <w:numId w:val="17"/>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GSTR-10 – Final return upon cancellation of registration</w:t>
      </w:r>
    </w:p>
    <w:p w14:paraId="16927E1E" w14:textId="77777777" w:rsidR="00570BD7" w:rsidRPr="008A4614" w:rsidRDefault="00570BD7" w:rsidP="00570BD7">
      <w:pPr>
        <w:spacing w:before="100" w:beforeAutospacing="1" w:after="100" w:afterAutospacing="1" w:line="240" w:lineRule="auto"/>
        <w:outlineLvl w:val="1"/>
        <w:rPr>
          <w:rFonts w:ascii="Open Sans" w:eastAsia="Times New Roman" w:hAnsi="Open Sans" w:cs="Open Sans"/>
          <w:b/>
          <w:bCs/>
          <w:sz w:val="36"/>
          <w:szCs w:val="36"/>
          <w:lang w:eastAsia="en-IN"/>
        </w:rPr>
      </w:pPr>
      <w:r w:rsidRPr="008A4614">
        <w:rPr>
          <w:rFonts w:ascii="Open Sans" w:eastAsia="Times New Roman" w:hAnsi="Open Sans" w:cs="Open Sans"/>
          <w:b/>
          <w:bCs/>
          <w:sz w:val="36"/>
          <w:szCs w:val="36"/>
          <w:lang w:eastAsia="en-IN"/>
        </w:rPr>
        <w:t>GST Return Filing Process</w:t>
      </w:r>
    </w:p>
    <w:p w14:paraId="0CFD0E2F"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Step 1: Collection of Sales Data</w:t>
      </w:r>
    </w:p>
    <w:p w14:paraId="557CCE6E"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lastRenderedPageBreak/>
        <w:t>Step 2: Reconciliation of Purchases</w:t>
      </w:r>
    </w:p>
    <w:p w14:paraId="479E8573"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Step 3: Tax Liability Computation</w:t>
      </w:r>
    </w:p>
    <w:p w14:paraId="6CCBB691"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Step 4: Filing of GST Returns</w:t>
      </w:r>
    </w:p>
    <w:p w14:paraId="35AD300B"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Step 5: Payment of GST Liability</w:t>
      </w:r>
    </w:p>
    <w:p w14:paraId="66CCE0E3"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Step 6: Annual Compliance</w:t>
      </w:r>
    </w:p>
    <w:p w14:paraId="6A0B1185" w14:textId="77777777" w:rsidR="00570BD7" w:rsidRPr="008A4614" w:rsidRDefault="00570BD7" w:rsidP="00570BD7">
      <w:pPr>
        <w:spacing w:before="100" w:beforeAutospacing="1" w:after="100" w:afterAutospacing="1" w:line="240" w:lineRule="auto"/>
        <w:outlineLvl w:val="1"/>
        <w:rPr>
          <w:rFonts w:ascii="Open Sans" w:eastAsia="Times New Roman" w:hAnsi="Open Sans" w:cs="Open Sans"/>
          <w:b/>
          <w:bCs/>
          <w:sz w:val="36"/>
          <w:szCs w:val="36"/>
          <w:lang w:eastAsia="en-IN"/>
        </w:rPr>
      </w:pPr>
      <w:r w:rsidRPr="008A4614">
        <w:rPr>
          <w:rFonts w:ascii="Open Sans" w:eastAsia="Times New Roman" w:hAnsi="Open Sans" w:cs="Open Sans"/>
          <w:b/>
          <w:bCs/>
          <w:sz w:val="36"/>
          <w:szCs w:val="36"/>
          <w:lang w:eastAsia="en-IN"/>
        </w:rPr>
        <w:t>Understanding CGST, SGST and IGST</w:t>
      </w:r>
    </w:p>
    <w:p w14:paraId="45ABFAB3"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Central Goods and Services Tax (CGST)</w:t>
      </w:r>
    </w:p>
    <w:p w14:paraId="71BD87A1"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CGST is levied by the Central Government on intra-state supplies of goods and services.</w:t>
      </w:r>
    </w:p>
    <w:p w14:paraId="0F092D31"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State Goods and Services Tax (SGST)</w:t>
      </w:r>
    </w:p>
    <w:p w14:paraId="6E177475"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SGST is levied by the respective State Government on intra-state supplies.</w:t>
      </w:r>
    </w:p>
    <w:p w14:paraId="14DBAD89"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Revenue collected under SGST is retained by the concerned State Government.</w:t>
      </w:r>
    </w:p>
    <w:p w14:paraId="4A9D0C27"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Integrated Goods and Services Tax (IGST)</w:t>
      </w:r>
    </w:p>
    <w:p w14:paraId="05E81488"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IGST applies to inter-state supplies of goods and services and facilitates seamless flow of Input Tax Credit across states.</w:t>
      </w:r>
    </w:p>
    <w:p w14:paraId="42CB02EF" w14:textId="77777777" w:rsidR="00570BD7" w:rsidRPr="008A4614" w:rsidRDefault="00570BD7" w:rsidP="00570BD7">
      <w:pPr>
        <w:spacing w:before="100" w:beforeAutospacing="1" w:after="100" w:afterAutospacing="1" w:line="240" w:lineRule="auto"/>
        <w:outlineLvl w:val="1"/>
        <w:rPr>
          <w:rFonts w:ascii="Open Sans" w:eastAsia="Times New Roman" w:hAnsi="Open Sans" w:cs="Open Sans"/>
          <w:b/>
          <w:bCs/>
          <w:sz w:val="36"/>
          <w:szCs w:val="36"/>
          <w:lang w:eastAsia="en-IN"/>
        </w:rPr>
      </w:pPr>
      <w:r w:rsidRPr="008A4614">
        <w:rPr>
          <w:rFonts w:ascii="Open Sans" w:eastAsia="Times New Roman" w:hAnsi="Open Sans" w:cs="Open Sans"/>
          <w:b/>
          <w:bCs/>
          <w:sz w:val="36"/>
          <w:szCs w:val="36"/>
          <w:lang w:eastAsia="en-IN"/>
        </w:rPr>
        <w:t>HSN Code under GST</w:t>
      </w:r>
    </w:p>
    <w:p w14:paraId="013C5349"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What is HSN Code?</w:t>
      </w:r>
    </w:p>
    <w:p w14:paraId="0253BD70"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HSN (Harmonized System of Nomenclature) is an internationally accepted system developed by the World Customs Organization (WCO) for classification of goods.</w:t>
      </w:r>
    </w:p>
    <w:p w14:paraId="619721B7"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HSN codes help businesses:</w:t>
      </w:r>
    </w:p>
    <w:p w14:paraId="7DF55F60" w14:textId="77777777" w:rsidR="00570BD7" w:rsidRPr="008A4614" w:rsidRDefault="00570BD7" w:rsidP="00570BD7">
      <w:pPr>
        <w:numPr>
          <w:ilvl w:val="0"/>
          <w:numId w:val="18"/>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Classify goods uniformly</w:t>
      </w:r>
    </w:p>
    <w:p w14:paraId="4958DB10" w14:textId="77777777" w:rsidR="00570BD7" w:rsidRPr="008A4614" w:rsidRDefault="00570BD7" w:rsidP="00570BD7">
      <w:pPr>
        <w:numPr>
          <w:ilvl w:val="0"/>
          <w:numId w:val="18"/>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Determine applicable GST rates</w:t>
      </w:r>
    </w:p>
    <w:p w14:paraId="70D8D1F2" w14:textId="77777777" w:rsidR="00570BD7" w:rsidRPr="008A4614" w:rsidRDefault="00570BD7" w:rsidP="00570BD7">
      <w:pPr>
        <w:numPr>
          <w:ilvl w:val="0"/>
          <w:numId w:val="18"/>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Simplify invoicing</w:t>
      </w:r>
    </w:p>
    <w:p w14:paraId="48FB28A6" w14:textId="77777777" w:rsidR="00570BD7" w:rsidRPr="008A4614" w:rsidRDefault="00570BD7" w:rsidP="00570BD7">
      <w:pPr>
        <w:numPr>
          <w:ilvl w:val="0"/>
          <w:numId w:val="18"/>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Improve GST compliance</w:t>
      </w:r>
    </w:p>
    <w:p w14:paraId="66534C55" w14:textId="77777777" w:rsidR="00570BD7" w:rsidRPr="008A4614" w:rsidRDefault="00570BD7" w:rsidP="00570BD7">
      <w:pPr>
        <w:numPr>
          <w:ilvl w:val="0"/>
          <w:numId w:val="18"/>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Facilitate international trade</w:t>
      </w:r>
    </w:p>
    <w:p w14:paraId="24A44587"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lastRenderedPageBreak/>
        <w:t>HSN code requirements are prescribed under GST laws and may vary based on turnover, nature of supplies, and applicable government notifications.</w:t>
      </w:r>
    </w:p>
    <w:p w14:paraId="628409E6" w14:textId="77777777" w:rsidR="00570BD7" w:rsidRPr="008A4614" w:rsidRDefault="00570BD7" w:rsidP="00570BD7">
      <w:pPr>
        <w:spacing w:before="100" w:beforeAutospacing="1" w:after="100" w:afterAutospacing="1" w:line="240" w:lineRule="auto"/>
        <w:outlineLvl w:val="1"/>
        <w:rPr>
          <w:rFonts w:ascii="Open Sans" w:eastAsia="Times New Roman" w:hAnsi="Open Sans" w:cs="Open Sans"/>
          <w:b/>
          <w:bCs/>
          <w:sz w:val="36"/>
          <w:szCs w:val="36"/>
          <w:lang w:eastAsia="en-IN"/>
        </w:rPr>
      </w:pPr>
      <w:r w:rsidRPr="008A4614">
        <w:rPr>
          <w:rFonts w:ascii="Open Sans" w:eastAsia="Times New Roman" w:hAnsi="Open Sans" w:cs="Open Sans"/>
          <w:b/>
          <w:bCs/>
          <w:sz w:val="36"/>
          <w:szCs w:val="36"/>
          <w:lang w:eastAsia="en-IN"/>
        </w:rPr>
        <w:t>SAC Code under GST</w:t>
      </w:r>
    </w:p>
    <w:p w14:paraId="7E7C9C16"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What is SAC Code?</w:t>
      </w:r>
    </w:p>
    <w:p w14:paraId="0D7CE88A"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SAC (Services Accounting Code) is used for classification of services under GST.</w:t>
      </w:r>
    </w:p>
    <w:p w14:paraId="0BF1A305"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The SAC system helps in:</w:t>
      </w:r>
    </w:p>
    <w:p w14:paraId="5007A2B9" w14:textId="77777777" w:rsidR="00570BD7" w:rsidRPr="008A4614" w:rsidRDefault="00570BD7" w:rsidP="00570BD7">
      <w:pPr>
        <w:numPr>
          <w:ilvl w:val="0"/>
          <w:numId w:val="19"/>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Accurate invoicing</w:t>
      </w:r>
    </w:p>
    <w:p w14:paraId="4FFA7DFB" w14:textId="77777777" w:rsidR="00570BD7" w:rsidRPr="008A4614" w:rsidRDefault="00570BD7" w:rsidP="00570BD7">
      <w:pPr>
        <w:numPr>
          <w:ilvl w:val="0"/>
          <w:numId w:val="19"/>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Proper tax classification</w:t>
      </w:r>
    </w:p>
    <w:p w14:paraId="57BFD9CD" w14:textId="77777777" w:rsidR="00570BD7" w:rsidRPr="008A4614" w:rsidRDefault="00570BD7" w:rsidP="00570BD7">
      <w:pPr>
        <w:numPr>
          <w:ilvl w:val="0"/>
          <w:numId w:val="19"/>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Determination of GST rates</w:t>
      </w:r>
    </w:p>
    <w:p w14:paraId="76138295" w14:textId="77777777" w:rsidR="00570BD7" w:rsidRPr="008A4614" w:rsidRDefault="00570BD7" w:rsidP="00570BD7">
      <w:pPr>
        <w:numPr>
          <w:ilvl w:val="0"/>
          <w:numId w:val="19"/>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Correct GST return filing</w:t>
      </w:r>
    </w:p>
    <w:p w14:paraId="65858AA8" w14:textId="77777777" w:rsidR="00570BD7" w:rsidRPr="008A4614" w:rsidRDefault="00570BD7" w:rsidP="00570BD7">
      <w:pPr>
        <w:numPr>
          <w:ilvl w:val="0"/>
          <w:numId w:val="19"/>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Regulatory compliance</w:t>
      </w:r>
    </w:p>
    <w:p w14:paraId="4F254B09"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Common GST Rates on Services</w:t>
      </w:r>
    </w:p>
    <w:p w14:paraId="64BC89B6"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Services are generally taxable at:</w:t>
      </w:r>
    </w:p>
    <w:p w14:paraId="2FFBE51B" w14:textId="77777777" w:rsidR="00570BD7" w:rsidRPr="008A4614" w:rsidRDefault="00570BD7" w:rsidP="00570BD7">
      <w:pPr>
        <w:numPr>
          <w:ilvl w:val="0"/>
          <w:numId w:val="20"/>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0%</w:t>
      </w:r>
    </w:p>
    <w:p w14:paraId="6D911C6A" w14:textId="77777777" w:rsidR="00570BD7" w:rsidRPr="008A4614" w:rsidRDefault="00570BD7" w:rsidP="00570BD7">
      <w:pPr>
        <w:numPr>
          <w:ilvl w:val="0"/>
          <w:numId w:val="20"/>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5%</w:t>
      </w:r>
    </w:p>
    <w:p w14:paraId="72FC0604" w14:textId="77777777" w:rsidR="00570BD7" w:rsidRPr="008A4614" w:rsidRDefault="00570BD7" w:rsidP="00570BD7">
      <w:pPr>
        <w:numPr>
          <w:ilvl w:val="0"/>
          <w:numId w:val="20"/>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12%</w:t>
      </w:r>
    </w:p>
    <w:p w14:paraId="497FBCDE" w14:textId="77777777" w:rsidR="00570BD7" w:rsidRPr="008A4614" w:rsidRDefault="00570BD7" w:rsidP="00570BD7">
      <w:pPr>
        <w:numPr>
          <w:ilvl w:val="0"/>
          <w:numId w:val="20"/>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18%</w:t>
      </w:r>
    </w:p>
    <w:p w14:paraId="447D5C67" w14:textId="77777777" w:rsidR="00570BD7" w:rsidRPr="008A4614" w:rsidRDefault="00570BD7" w:rsidP="00570BD7">
      <w:pPr>
        <w:numPr>
          <w:ilvl w:val="0"/>
          <w:numId w:val="20"/>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28%</w:t>
      </w:r>
    </w:p>
    <w:p w14:paraId="184EA766"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Where no specific rate is prescribed and the service is not exempt, GST is generally levied at 18%.</w:t>
      </w:r>
    </w:p>
    <w:p w14:paraId="5CCE11EC" w14:textId="77777777" w:rsidR="00570BD7" w:rsidRPr="008A4614" w:rsidRDefault="00570BD7" w:rsidP="00570BD7">
      <w:pPr>
        <w:spacing w:before="100" w:beforeAutospacing="1" w:after="100" w:afterAutospacing="1" w:line="240" w:lineRule="auto"/>
        <w:outlineLvl w:val="1"/>
        <w:rPr>
          <w:rFonts w:ascii="Open Sans" w:eastAsia="Times New Roman" w:hAnsi="Open Sans" w:cs="Open Sans"/>
          <w:b/>
          <w:bCs/>
          <w:sz w:val="36"/>
          <w:szCs w:val="36"/>
          <w:lang w:eastAsia="en-IN"/>
        </w:rPr>
      </w:pPr>
      <w:r w:rsidRPr="008A4614">
        <w:rPr>
          <w:rFonts w:ascii="Open Sans" w:eastAsia="Times New Roman" w:hAnsi="Open Sans" w:cs="Open Sans"/>
          <w:b/>
          <w:bCs/>
          <w:sz w:val="36"/>
          <w:szCs w:val="36"/>
          <w:lang w:eastAsia="en-IN"/>
        </w:rPr>
        <w:t>Consequences of Non-Compliance</w:t>
      </w:r>
    </w:p>
    <w:p w14:paraId="68926060"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Failure to comply with GST provisions may result in:</w:t>
      </w:r>
    </w:p>
    <w:p w14:paraId="52883451" w14:textId="77777777" w:rsidR="00570BD7" w:rsidRPr="008A4614" w:rsidRDefault="00570BD7" w:rsidP="00570BD7">
      <w:pPr>
        <w:numPr>
          <w:ilvl w:val="0"/>
          <w:numId w:val="21"/>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Late filing fees</w:t>
      </w:r>
    </w:p>
    <w:p w14:paraId="4E4BE16A" w14:textId="77777777" w:rsidR="00570BD7" w:rsidRPr="008A4614" w:rsidRDefault="00570BD7" w:rsidP="00570BD7">
      <w:pPr>
        <w:numPr>
          <w:ilvl w:val="0"/>
          <w:numId w:val="21"/>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Interest on delayed tax payment</w:t>
      </w:r>
    </w:p>
    <w:p w14:paraId="50137F1E" w14:textId="77777777" w:rsidR="00570BD7" w:rsidRPr="008A4614" w:rsidRDefault="00570BD7" w:rsidP="00570BD7">
      <w:pPr>
        <w:numPr>
          <w:ilvl w:val="0"/>
          <w:numId w:val="21"/>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Restriction or denial of Input Tax Credit</w:t>
      </w:r>
    </w:p>
    <w:p w14:paraId="1700730C" w14:textId="77777777" w:rsidR="00570BD7" w:rsidRPr="008A4614" w:rsidRDefault="00570BD7" w:rsidP="00570BD7">
      <w:pPr>
        <w:numPr>
          <w:ilvl w:val="0"/>
          <w:numId w:val="21"/>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 notices and departmental scrutiny</w:t>
      </w:r>
    </w:p>
    <w:p w14:paraId="074A6256" w14:textId="77777777" w:rsidR="00570BD7" w:rsidRPr="008A4614" w:rsidRDefault="00570BD7" w:rsidP="00570BD7">
      <w:pPr>
        <w:numPr>
          <w:ilvl w:val="0"/>
          <w:numId w:val="21"/>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Penalties under GST law</w:t>
      </w:r>
    </w:p>
    <w:p w14:paraId="4BAB41F3" w14:textId="77777777" w:rsidR="00570BD7" w:rsidRPr="008A4614" w:rsidRDefault="00570BD7" w:rsidP="00570BD7">
      <w:pPr>
        <w:numPr>
          <w:ilvl w:val="0"/>
          <w:numId w:val="21"/>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Suspension or cancellation of GST registration in serious cases</w:t>
      </w:r>
    </w:p>
    <w:p w14:paraId="040DF6C6"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Timely filing and reconciliation help businesses avoid these consequences.</w:t>
      </w:r>
    </w:p>
    <w:p w14:paraId="4CCCFDD4" w14:textId="77777777" w:rsidR="00570BD7" w:rsidRPr="008A4614" w:rsidRDefault="00570BD7" w:rsidP="00570BD7">
      <w:pPr>
        <w:spacing w:before="100" w:beforeAutospacing="1" w:after="100" w:afterAutospacing="1" w:line="240" w:lineRule="auto"/>
        <w:outlineLvl w:val="1"/>
        <w:rPr>
          <w:rFonts w:ascii="Open Sans" w:eastAsia="Times New Roman" w:hAnsi="Open Sans" w:cs="Open Sans"/>
          <w:b/>
          <w:bCs/>
          <w:sz w:val="36"/>
          <w:szCs w:val="36"/>
          <w:lang w:eastAsia="en-IN"/>
        </w:rPr>
      </w:pPr>
      <w:r w:rsidRPr="008A4614">
        <w:rPr>
          <w:rFonts w:ascii="Open Sans" w:eastAsia="Times New Roman" w:hAnsi="Open Sans" w:cs="Open Sans"/>
          <w:b/>
          <w:bCs/>
          <w:sz w:val="36"/>
          <w:szCs w:val="36"/>
          <w:lang w:eastAsia="en-IN"/>
        </w:rPr>
        <w:lastRenderedPageBreak/>
        <w:t>Documents Required for GST Return Filing</w:t>
      </w:r>
    </w:p>
    <w:p w14:paraId="6F329BC8" w14:textId="77777777" w:rsidR="00570BD7" w:rsidRPr="008A4614" w:rsidRDefault="00570BD7" w:rsidP="00570BD7">
      <w:pPr>
        <w:numPr>
          <w:ilvl w:val="0"/>
          <w:numId w:val="22"/>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 Registration Certificate</w:t>
      </w:r>
    </w:p>
    <w:p w14:paraId="038F4BD5" w14:textId="77777777" w:rsidR="00570BD7" w:rsidRPr="008A4614" w:rsidRDefault="00570BD7" w:rsidP="00570BD7">
      <w:pPr>
        <w:numPr>
          <w:ilvl w:val="0"/>
          <w:numId w:val="22"/>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GSTIN Details</w:t>
      </w:r>
    </w:p>
    <w:p w14:paraId="2B5CEDBE" w14:textId="77777777" w:rsidR="00570BD7" w:rsidRPr="008A4614" w:rsidRDefault="00570BD7" w:rsidP="00570BD7">
      <w:pPr>
        <w:numPr>
          <w:ilvl w:val="0"/>
          <w:numId w:val="22"/>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Sales Register</w:t>
      </w:r>
    </w:p>
    <w:p w14:paraId="271950D1" w14:textId="77777777" w:rsidR="00570BD7" w:rsidRPr="008A4614" w:rsidRDefault="00570BD7" w:rsidP="00570BD7">
      <w:pPr>
        <w:numPr>
          <w:ilvl w:val="0"/>
          <w:numId w:val="22"/>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Purchase Register</w:t>
      </w:r>
    </w:p>
    <w:p w14:paraId="113E1DA6" w14:textId="77777777" w:rsidR="00570BD7" w:rsidRPr="008A4614" w:rsidRDefault="00570BD7" w:rsidP="00570BD7">
      <w:pPr>
        <w:numPr>
          <w:ilvl w:val="0"/>
          <w:numId w:val="22"/>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Tax Invoices</w:t>
      </w:r>
    </w:p>
    <w:p w14:paraId="170413DE" w14:textId="77777777" w:rsidR="00570BD7" w:rsidRPr="008A4614" w:rsidRDefault="00570BD7" w:rsidP="00570BD7">
      <w:pPr>
        <w:numPr>
          <w:ilvl w:val="0"/>
          <w:numId w:val="22"/>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Debit Notes and Credit Notes</w:t>
      </w:r>
    </w:p>
    <w:p w14:paraId="127AE5B9" w14:textId="77777777" w:rsidR="00570BD7" w:rsidRPr="008A4614" w:rsidRDefault="00570BD7" w:rsidP="00570BD7">
      <w:pPr>
        <w:numPr>
          <w:ilvl w:val="0"/>
          <w:numId w:val="22"/>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E-Way Bill Details (if applicable)</w:t>
      </w:r>
    </w:p>
    <w:p w14:paraId="0FCB94EB" w14:textId="77777777" w:rsidR="00570BD7" w:rsidRPr="008A4614" w:rsidRDefault="00570BD7" w:rsidP="00570BD7">
      <w:pPr>
        <w:numPr>
          <w:ilvl w:val="0"/>
          <w:numId w:val="22"/>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Input Tax Credit Records</w:t>
      </w:r>
    </w:p>
    <w:p w14:paraId="101CC361" w14:textId="77777777" w:rsidR="00570BD7" w:rsidRPr="008A4614" w:rsidRDefault="00570BD7" w:rsidP="00570BD7">
      <w:pPr>
        <w:numPr>
          <w:ilvl w:val="0"/>
          <w:numId w:val="22"/>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Previous GST Returns</w:t>
      </w:r>
    </w:p>
    <w:p w14:paraId="3A802912" w14:textId="77777777" w:rsidR="00570BD7" w:rsidRPr="008A4614" w:rsidRDefault="00570BD7" w:rsidP="00570BD7">
      <w:pPr>
        <w:numPr>
          <w:ilvl w:val="0"/>
          <w:numId w:val="22"/>
        </w:num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Bank Statements (if required)</w:t>
      </w:r>
    </w:p>
    <w:p w14:paraId="65347B5E" w14:textId="77777777" w:rsidR="00570BD7" w:rsidRPr="008A4614" w:rsidRDefault="00570BD7" w:rsidP="00570BD7">
      <w:pPr>
        <w:spacing w:before="100" w:beforeAutospacing="1" w:after="100" w:afterAutospacing="1" w:line="240" w:lineRule="auto"/>
        <w:outlineLvl w:val="1"/>
        <w:rPr>
          <w:rFonts w:ascii="Open Sans" w:eastAsia="Times New Roman" w:hAnsi="Open Sans" w:cs="Open Sans"/>
          <w:b/>
          <w:bCs/>
          <w:sz w:val="36"/>
          <w:szCs w:val="36"/>
          <w:lang w:eastAsia="en-IN"/>
        </w:rPr>
      </w:pPr>
      <w:r w:rsidRPr="008A4614">
        <w:rPr>
          <w:rFonts w:ascii="Open Sans" w:eastAsia="Times New Roman" w:hAnsi="Open Sans" w:cs="Open Sans"/>
          <w:b/>
          <w:bCs/>
          <w:sz w:val="36"/>
          <w:szCs w:val="36"/>
          <w:lang w:eastAsia="en-IN"/>
        </w:rPr>
        <w:t>Frequently Asked Questions (FAQs)</w:t>
      </w:r>
    </w:p>
    <w:p w14:paraId="296DB624"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Is GST return filing mandatory?</w:t>
      </w:r>
    </w:p>
    <w:p w14:paraId="70F1599E"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Yes. Every registered taxpayer is required to file applicable GST returns within the prescribed due dates, even in certain cases where there are no transactions.</w:t>
      </w:r>
    </w:p>
    <w:p w14:paraId="7607FABB"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What happens if GST returns are filed late?</w:t>
      </w:r>
    </w:p>
    <w:p w14:paraId="2B2ACD59"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Late filing may attract late fees, interest, and compliance notices from the GST Department.</w:t>
      </w:r>
    </w:p>
    <w:p w14:paraId="24149B16"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Can GST returns be revised?</w:t>
      </w:r>
    </w:p>
    <w:p w14:paraId="458E66F8"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GST returns generally cannot be revised. Errors are corrected through amendments in subsequent returns, subject to GST provisions.</w:t>
      </w:r>
    </w:p>
    <w:p w14:paraId="031118FB"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Can Input Tax Credit be claimed without supplier compliance?</w:t>
      </w:r>
    </w:p>
    <w:p w14:paraId="41F80357"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Input Tax Credit is subject to fulfilment of prescribed conditions under GST law, including reporting by suppliers.</w:t>
      </w:r>
    </w:p>
    <w:p w14:paraId="62A4F640"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Do businesses with no transactions need to file GST returns?</w:t>
      </w:r>
    </w:p>
    <w:p w14:paraId="6D87D754" w14:textId="77777777" w:rsidR="00570BD7" w:rsidRPr="008A4614" w:rsidRDefault="00570BD7" w:rsidP="00570BD7">
      <w:pPr>
        <w:spacing w:before="100" w:beforeAutospacing="1" w:after="100" w:afterAutospacing="1" w:line="240" w:lineRule="auto"/>
        <w:rPr>
          <w:rFonts w:ascii="Open Sans" w:eastAsia="Times New Roman" w:hAnsi="Open Sans" w:cs="Open Sans"/>
          <w:sz w:val="24"/>
          <w:szCs w:val="24"/>
          <w:lang w:eastAsia="en-IN"/>
        </w:rPr>
      </w:pPr>
      <w:r w:rsidRPr="008A4614">
        <w:rPr>
          <w:rFonts w:ascii="Open Sans" w:eastAsia="Times New Roman" w:hAnsi="Open Sans" w:cs="Open Sans"/>
          <w:sz w:val="24"/>
          <w:szCs w:val="24"/>
          <w:lang w:eastAsia="en-IN"/>
        </w:rPr>
        <w:t>Yes. Registered taxpayers may be required to file Nil Returns where no business transactions have occurred during the tax period.</w:t>
      </w:r>
    </w:p>
    <w:p w14:paraId="0F5CA8CE" w14:textId="77777777" w:rsidR="00570BD7" w:rsidRPr="008A4614" w:rsidRDefault="00570BD7" w:rsidP="00570BD7">
      <w:pPr>
        <w:spacing w:before="100" w:beforeAutospacing="1" w:after="100" w:afterAutospacing="1" w:line="240" w:lineRule="auto"/>
        <w:outlineLvl w:val="2"/>
        <w:rPr>
          <w:rFonts w:ascii="Open Sans" w:eastAsia="Times New Roman" w:hAnsi="Open Sans" w:cs="Open Sans"/>
          <w:b/>
          <w:bCs/>
          <w:sz w:val="27"/>
          <w:szCs w:val="27"/>
          <w:lang w:eastAsia="en-IN"/>
        </w:rPr>
      </w:pPr>
      <w:r w:rsidRPr="008A4614">
        <w:rPr>
          <w:rFonts w:ascii="Open Sans" w:eastAsia="Times New Roman" w:hAnsi="Open Sans" w:cs="Open Sans"/>
          <w:b/>
          <w:bCs/>
          <w:sz w:val="27"/>
          <w:szCs w:val="27"/>
          <w:lang w:eastAsia="en-IN"/>
        </w:rPr>
        <w:t xml:space="preserve">How can </w:t>
      </w:r>
      <w:proofErr w:type="spellStart"/>
      <w:r w:rsidRPr="008A4614">
        <w:rPr>
          <w:rFonts w:ascii="Open Sans" w:eastAsia="Times New Roman" w:hAnsi="Open Sans" w:cs="Open Sans"/>
          <w:b/>
          <w:bCs/>
          <w:sz w:val="27"/>
          <w:szCs w:val="27"/>
          <w:lang w:eastAsia="en-IN"/>
        </w:rPr>
        <w:t>ConsultAvenuee</w:t>
      </w:r>
      <w:proofErr w:type="spellEnd"/>
      <w:r w:rsidRPr="008A4614">
        <w:rPr>
          <w:rFonts w:ascii="Open Sans" w:eastAsia="Times New Roman" w:hAnsi="Open Sans" w:cs="Open Sans"/>
          <w:b/>
          <w:bCs/>
          <w:sz w:val="27"/>
          <w:szCs w:val="27"/>
          <w:lang w:eastAsia="en-IN"/>
        </w:rPr>
        <w:t xml:space="preserve"> help?</w:t>
      </w:r>
    </w:p>
    <w:p w14:paraId="70C4A0E7" w14:textId="77777777" w:rsidR="00570BD7" w:rsidRPr="00C12FED" w:rsidRDefault="00570BD7" w:rsidP="00C12FED">
      <w:pPr>
        <w:spacing w:before="100" w:beforeAutospacing="1" w:after="100" w:afterAutospacing="1" w:line="240" w:lineRule="auto"/>
        <w:jc w:val="both"/>
        <w:rPr>
          <w:rFonts w:ascii="Open Sans" w:eastAsia="Times New Roman" w:hAnsi="Open Sans" w:cs="Open Sans"/>
          <w:b/>
          <w:bCs/>
          <w:sz w:val="24"/>
          <w:szCs w:val="24"/>
          <w:lang w:eastAsia="en-IN"/>
        </w:rPr>
      </w:pPr>
      <w:r w:rsidRPr="00C12FED">
        <w:rPr>
          <w:rFonts w:ascii="Open Sans" w:eastAsia="Times New Roman" w:hAnsi="Open Sans" w:cs="Open Sans"/>
          <w:b/>
          <w:bCs/>
          <w:sz w:val="24"/>
          <w:szCs w:val="24"/>
          <w:lang w:eastAsia="en-IN"/>
        </w:rPr>
        <w:lastRenderedPageBreak/>
        <w:t>Our GST experts assist with registration, return filing, ITC reconciliation, annual compliance, notice handling, GST refunds, and end-to-end GST advisory services.</w:t>
      </w:r>
    </w:p>
    <w:p w14:paraId="2FCB0CBB" w14:textId="77777777" w:rsidR="00570BD7" w:rsidRPr="00C12FED" w:rsidRDefault="00570BD7" w:rsidP="00BB0459">
      <w:pPr>
        <w:spacing w:before="100" w:beforeAutospacing="1" w:after="100" w:afterAutospacing="1" w:line="240" w:lineRule="auto"/>
        <w:outlineLvl w:val="1"/>
        <w:rPr>
          <w:rFonts w:ascii="Open Sans" w:eastAsia="Times New Roman" w:hAnsi="Open Sans" w:cs="Open Sans"/>
          <w:b/>
          <w:bCs/>
          <w:sz w:val="36"/>
          <w:szCs w:val="36"/>
          <w:lang w:eastAsia="en-IN"/>
        </w:rPr>
      </w:pPr>
    </w:p>
    <w:sectPr w:rsidR="00570BD7" w:rsidRPr="00C12F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602E4"/>
    <w:multiLevelType w:val="multilevel"/>
    <w:tmpl w:val="0252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630A"/>
    <w:multiLevelType w:val="multilevel"/>
    <w:tmpl w:val="787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8708D"/>
    <w:multiLevelType w:val="multilevel"/>
    <w:tmpl w:val="27D0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B30D2"/>
    <w:multiLevelType w:val="multilevel"/>
    <w:tmpl w:val="2F34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90B7F"/>
    <w:multiLevelType w:val="multilevel"/>
    <w:tmpl w:val="716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A413D"/>
    <w:multiLevelType w:val="multilevel"/>
    <w:tmpl w:val="EFFC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D0492"/>
    <w:multiLevelType w:val="hybridMultilevel"/>
    <w:tmpl w:val="9FDC22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5B7E8E"/>
    <w:multiLevelType w:val="multilevel"/>
    <w:tmpl w:val="E9CC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C488A"/>
    <w:multiLevelType w:val="multilevel"/>
    <w:tmpl w:val="1BB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356DE"/>
    <w:multiLevelType w:val="multilevel"/>
    <w:tmpl w:val="8148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54F14"/>
    <w:multiLevelType w:val="multilevel"/>
    <w:tmpl w:val="CA38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15A78"/>
    <w:multiLevelType w:val="multilevel"/>
    <w:tmpl w:val="F8F0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E400C"/>
    <w:multiLevelType w:val="multilevel"/>
    <w:tmpl w:val="A4B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336A1"/>
    <w:multiLevelType w:val="multilevel"/>
    <w:tmpl w:val="E9C4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B6889"/>
    <w:multiLevelType w:val="multilevel"/>
    <w:tmpl w:val="4DB6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556D7"/>
    <w:multiLevelType w:val="multilevel"/>
    <w:tmpl w:val="8C1C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DF5AFF"/>
    <w:multiLevelType w:val="multilevel"/>
    <w:tmpl w:val="7832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B67B9"/>
    <w:multiLevelType w:val="multilevel"/>
    <w:tmpl w:val="E2E2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25B2D"/>
    <w:multiLevelType w:val="multilevel"/>
    <w:tmpl w:val="451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A7060"/>
    <w:multiLevelType w:val="multilevel"/>
    <w:tmpl w:val="C28E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4D0E65"/>
    <w:multiLevelType w:val="multilevel"/>
    <w:tmpl w:val="C1C0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955488"/>
    <w:multiLevelType w:val="multilevel"/>
    <w:tmpl w:val="580C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A95442"/>
    <w:multiLevelType w:val="multilevel"/>
    <w:tmpl w:val="8294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2"/>
  </w:num>
  <w:num w:numId="3">
    <w:abstractNumId w:val="18"/>
  </w:num>
  <w:num w:numId="4">
    <w:abstractNumId w:val="12"/>
  </w:num>
  <w:num w:numId="5">
    <w:abstractNumId w:val="4"/>
  </w:num>
  <w:num w:numId="6">
    <w:abstractNumId w:val="5"/>
  </w:num>
  <w:num w:numId="7">
    <w:abstractNumId w:val="0"/>
  </w:num>
  <w:num w:numId="8">
    <w:abstractNumId w:val="13"/>
  </w:num>
  <w:num w:numId="9">
    <w:abstractNumId w:val="20"/>
  </w:num>
  <w:num w:numId="10">
    <w:abstractNumId w:val="14"/>
  </w:num>
  <w:num w:numId="11">
    <w:abstractNumId w:val="1"/>
  </w:num>
  <w:num w:numId="12">
    <w:abstractNumId w:val="6"/>
  </w:num>
  <w:num w:numId="13">
    <w:abstractNumId w:val="11"/>
  </w:num>
  <w:num w:numId="14">
    <w:abstractNumId w:val="16"/>
  </w:num>
  <w:num w:numId="15">
    <w:abstractNumId w:val="2"/>
  </w:num>
  <w:num w:numId="16">
    <w:abstractNumId w:val="9"/>
  </w:num>
  <w:num w:numId="17">
    <w:abstractNumId w:val="8"/>
  </w:num>
  <w:num w:numId="18">
    <w:abstractNumId w:val="21"/>
  </w:num>
  <w:num w:numId="19">
    <w:abstractNumId w:val="19"/>
  </w:num>
  <w:num w:numId="20">
    <w:abstractNumId w:val="7"/>
  </w:num>
  <w:num w:numId="21">
    <w:abstractNumId w:val="3"/>
  </w:num>
  <w:num w:numId="22">
    <w:abstractNumId w:val="15"/>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981"/>
    <w:rsid w:val="00560740"/>
    <w:rsid w:val="00570BD7"/>
    <w:rsid w:val="006D3640"/>
    <w:rsid w:val="008A4614"/>
    <w:rsid w:val="009A46BB"/>
    <w:rsid w:val="00B5349B"/>
    <w:rsid w:val="00BB0459"/>
    <w:rsid w:val="00C12FED"/>
    <w:rsid w:val="00C360C2"/>
    <w:rsid w:val="00CD7981"/>
    <w:rsid w:val="00EE5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59372"/>
  <w15:chartTrackingRefBased/>
  <w15:docId w15:val="{364B2C09-5804-4CB4-8B96-3C51D5284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B04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B045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B04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45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B045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B045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B045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BB0459"/>
    <w:pPr>
      <w:spacing w:after="200" w:line="276" w:lineRule="auto"/>
      <w:ind w:left="720"/>
      <w:contextualSpacing/>
    </w:pPr>
    <w:rPr>
      <w:lang w:val="en-US"/>
    </w:rPr>
  </w:style>
  <w:style w:type="paragraph" w:customStyle="1" w:styleId="isselectedend">
    <w:name w:val="isselectedend"/>
    <w:basedOn w:val="Normal"/>
    <w:rsid w:val="00570BD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373047">
      <w:bodyDiv w:val="1"/>
      <w:marLeft w:val="0"/>
      <w:marRight w:val="0"/>
      <w:marTop w:val="0"/>
      <w:marBottom w:val="0"/>
      <w:divBdr>
        <w:top w:val="none" w:sz="0" w:space="0" w:color="auto"/>
        <w:left w:val="none" w:sz="0" w:space="0" w:color="auto"/>
        <w:bottom w:val="none" w:sz="0" w:space="0" w:color="auto"/>
        <w:right w:val="none" w:sz="0" w:space="0" w:color="auto"/>
      </w:divBdr>
      <w:divsChild>
        <w:div w:id="1490486119">
          <w:marLeft w:val="0"/>
          <w:marRight w:val="0"/>
          <w:marTop w:val="0"/>
          <w:marBottom w:val="0"/>
          <w:divBdr>
            <w:top w:val="none" w:sz="0" w:space="0" w:color="auto"/>
            <w:left w:val="none" w:sz="0" w:space="0" w:color="auto"/>
            <w:bottom w:val="none" w:sz="0" w:space="0" w:color="auto"/>
            <w:right w:val="none" w:sz="0" w:space="0" w:color="auto"/>
          </w:divBdr>
        </w:div>
        <w:div w:id="1250772194">
          <w:marLeft w:val="0"/>
          <w:marRight w:val="0"/>
          <w:marTop w:val="0"/>
          <w:marBottom w:val="0"/>
          <w:divBdr>
            <w:top w:val="none" w:sz="0" w:space="0" w:color="auto"/>
            <w:left w:val="none" w:sz="0" w:space="0" w:color="auto"/>
            <w:bottom w:val="none" w:sz="0" w:space="0" w:color="auto"/>
            <w:right w:val="none" w:sz="0" w:space="0" w:color="auto"/>
          </w:divBdr>
        </w:div>
        <w:div w:id="944388843">
          <w:marLeft w:val="0"/>
          <w:marRight w:val="0"/>
          <w:marTop w:val="0"/>
          <w:marBottom w:val="0"/>
          <w:divBdr>
            <w:top w:val="none" w:sz="0" w:space="0" w:color="auto"/>
            <w:left w:val="none" w:sz="0" w:space="0" w:color="auto"/>
            <w:bottom w:val="none" w:sz="0" w:space="0" w:color="auto"/>
            <w:right w:val="none" w:sz="0" w:space="0" w:color="auto"/>
          </w:divBdr>
        </w:div>
        <w:div w:id="128281122">
          <w:marLeft w:val="0"/>
          <w:marRight w:val="0"/>
          <w:marTop w:val="0"/>
          <w:marBottom w:val="0"/>
          <w:divBdr>
            <w:top w:val="none" w:sz="0" w:space="0" w:color="auto"/>
            <w:left w:val="none" w:sz="0" w:space="0" w:color="auto"/>
            <w:bottom w:val="none" w:sz="0" w:space="0" w:color="auto"/>
            <w:right w:val="none" w:sz="0" w:space="0" w:color="auto"/>
          </w:divBdr>
        </w:div>
        <w:div w:id="1648702782">
          <w:marLeft w:val="0"/>
          <w:marRight w:val="0"/>
          <w:marTop w:val="0"/>
          <w:marBottom w:val="0"/>
          <w:divBdr>
            <w:top w:val="none" w:sz="0" w:space="0" w:color="auto"/>
            <w:left w:val="none" w:sz="0" w:space="0" w:color="auto"/>
            <w:bottom w:val="none" w:sz="0" w:space="0" w:color="auto"/>
            <w:right w:val="none" w:sz="0" w:space="0" w:color="auto"/>
          </w:divBdr>
        </w:div>
        <w:div w:id="545994024">
          <w:marLeft w:val="0"/>
          <w:marRight w:val="0"/>
          <w:marTop w:val="0"/>
          <w:marBottom w:val="0"/>
          <w:divBdr>
            <w:top w:val="none" w:sz="0" w:space="0" w:color="auto"/>
            <w:left w:val="none" w:sz="0" w:space="0" w:color="auto"/>
            <w:bottom w:val="none" w:sz="0" w:space="0" w:color="auto"/>
            <w:right w:val="none" w:sz="0" w:space="0" w:color="auto"/>
          </w:divBdr>
        </w:div>
        <w:div w:id="1749766089">
          <w:marLeft w:val="0"/>
          <w:marRight w:val="0"/>
          <w:marTop w:val="0"/>
          <w:marBottom w:val="0"/>
          <w:divBdr>
            <w:top w:val="none" w:sz="0" w:space="0" w:color="auto"/>
            <w:left w:val="none" w:sz="0" w:space="0" w:color="auto"/>
            <w:bottom w:val="none" w:sz="0" w:space="0" w:color="auto"/>
            <w:right w:val="none" w:sz="0" w:space="0" w:color="auto"/>
          </w:divBdr>
        </w:div>
        <w:div w:id="1718779726">
          <w:marLeft w:val="0"/>
          <w:marRight w:val="0"/>
          <w:marTop w:val="0"/>
          <w:marBottom w:val="0"/>
          <w:divBdr>
            <w:top w:val="none" w:sz="0" w:space="0" w:color="auto"/>
            <w:left w:val="none" w:sz="0" w:space="0" w:color="auto"/>
            <w:bottom w:val="none" w:sz="0" w:space="0" w:color="auto"/>
            <w:right w:val="none" w:sz="0" w:space="0" w:color="auto"/>
          </w:divBdr>
        </w:div>
        <w:div w:id="550848231">
          <w:marLeft w:val="0"/>
          <w:marRight w:val="0"/>
          <w:marTop w:val="0"/>
          <w:marBottom w:val="0"/>
          <w:divBdr>
            <w:top w:val="none" w:sz="0" w:space="0" w:color="auto"/>
            <w:left w:val="none" w:sz="0" w:space="0" w:color="auto"/>
            <w:bottom w:val="none" w:sz="0" w:space="0" w:color="auto"/>
            <w:right w:val="none" w:sz="0" w:space="0" w:color="auto"/>
          </w:divBdr>
        </w:div>
        <w:div w:id="1704596187">
          <w:marLeft w:val="0"/>
          <w:marRight w:val="0"/>
          <w:marTop w:val="0"/>
          <w:marBottom w:val="0"/>
          <w:divBdr>
            <w:top w:val="none" w:sz="0" w:space="0" w:color="auto"/>
            <w:left w:val="none" w:sz="0" w:space="0" w:color="auto"/>
            <w:bottom w:val="none" w:sz="0" w:space="0" w:color="auto"/>
            <w:right w:val="none" w:sz="0" w:space="0" w:color="auto"/>
          </w:divBdr>
        </w:div>
        <w:div w:id="1509447574">
          <w:marLeft w:val="0"/>
          <w:marRight w:val="0"/>
          <w:marTop w:val="0"/>
          <w:marBottom w:val="0"/>
          <w:divBdr>
            <w:top w:val="none" w:sz="0" w:space="0" w:color="auto"/>
            <w:left w:val="none" w:sz="0" w:space="0" w:color="auto"/>
            <w:bottom w:val="none" w:sz="0" w:space="0" w:color="auto"/>
            <w:right w:val="none" w:sz="0" w:space="0" w:color="auto"/>
          </w:divBdr>
        </w:div>
        <w:div w:id="1824344823">
          <w:marLeft w:val="0"/>
          <w:marRight w:val="0"/>
          <w:marTop w:val="0"/>
          <w:marBottom w:val="0"/>
          <w:divBdr>
            <w:top w:val="none" w:sz="0" w:space="0" w:color="auto"/>
            <w:left w:val="none" w:sz="0" w:space="0" w:color="auto"/>
            <w:bottom w:val="none" w:sz="0" w:space="0" w:color="auto"/>
            <w:right w:val="none" w:sz="0" w:space="0" w:color="auto"/>
          </w:divBdr>
        </w:div>
      </w:divsChild>
    </w:div>
    <w:div w:id="158236411">
      <w:bodyDiv w:val="1"/>
      <w:marLeft w:val="0"/>
      <w:marRight w:val="0"/>
      <w:marTop w:val="0"/>
      <w:marBottom w:val="0"/>
      <w:divBdr>
        <w:top w:val="none" w:sz="0" w:space="0" w:color="auto"/>
        <w:left w:val="none" w:sz="0" w:space="0" w:color="auto"/>
        <w:bottom w:val="none" w:sz="0" w:space="0" w:color="auto"/>
        <w:right w:val="none" w:sz="0" w:space="0" w:color="auto"/>
      </w:divBdr>
    </w:div>
    <w:div w:id="377902162">
      <w:bodyDiv w:val="1"/>
      <w:marLeft w:val="0"/>
      <w:marRight w:val="0"/>
      <w:marTop w:val="0"/>
      <w:marBottom w:val="0"/>
      <w:divBdr>
        <w:top w:val="none" w:sz="0" w:space="0" w:color="auto"/>
        <w:left w:val="none" w:sz="0" w:space="0" w:color="auto"/>
        <w:bottom w:val="none" w:sz="0" w:space="0" w:color="auto"/>
        <w:right w:val="none" w:sz="0" w:space="0" w:color="auto"/>
      </w:divBdr>
    </w:div>
    <w:div w:id="681203938">
      <w:bodyDiv w:val="1"/>
      <w:marLeft w:val="0"/>
      <w:marRight w:val="0"/>
      <w:marTop w:val="0"/>
      <w:marBottom w:val="0"/>
      <w:divBdr>
        <w:top w:val="none" w:sz="0" w:space="0" w:color="auto"/>
        <w:left w:val="none" w:sz="0" w:space="0" w:color="auto"/>
        <w:bottom w:val="none" w:sz="0" w:space="0" w:color="auto"/>
        <w:right w:val="none" w:sz="0" w:space="0" w:color="auto"/>
      </w:divBdr>
    </w:div>
    <w:div w:id="87019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DBF0E-37B2-4CCD-BFA6-070148463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2026-06-03T10:39:00Z</dcterms:created>
  <dcterms:modified xsi:type="dcterms:W3CDTF">2026-06-05T09:42:00Z</dcterms:modified>
</cp:coreProperties>
</file>