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69D65" w14:textId="6CEA1CB3" w:rsidR="00BC4588" w:rsidRPr="003C0AAB" w:rsidRDefault="00BC4588" w:rsidP="00BC4588">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C0AAB">
        <w:rPr>
          <w:rFonts w:ascii="Open Sans" w:eastAsia="Times New Roman" w:hAnsi="Open Sans" w:cs="Open Sans"/>
          <w:b/>
          <w:bCs/>
          <w:kern w:val="36"/>
          <w:sz w:val="48"/>
          <w:szCs w:val="48"/>
          <w:lang w:eastAsia="en-IN"/>
          <w14:ligatures w14:val="none"/>
        </w:rPr>
        <w:t>Provident Fund (EPF) Registration</w:t>
      </w:r>
      <w:r w:rsidR="00FD3AB2" w:rsidRPr="003C0AAB">
        <w:rPr>
          <w:rFonts w:ascii="Open Sans" w:eastAsia="Times New Roman" w:hAnsi="Open Sans" w:cs="Open Sans"/>
          <w:b/>
          <w:bCs/>
          <w:kern w:val="36"/>
          <w:sz w:val="48"/>
          <w:szCs w:val="48"/>
          <w:lang w:eastAsia="en-IN"/>
          <w14:ligatures w14:val="none"/>
        </w:rPr>
        <w:t xml:space="preserve"> &amp; compliances</w:t>
      </w:r>
    </w:p>
    <w:p w14:paraId="120CA1D6" w14:textId="77777777" w:rsidR="00FD3AB2" w:rsidRPr="003C0AAB" w:rsidRDefault="00FD3AB2" w:rsidP="00FD3AB2">
      <w:pPr>
        <w:pStyle w:val="Heading2"/>
        <w:rPr>
          <w:rFonts w:ascii="Open Sans" w:hAnsi="Open Sans" w:cs="Open Sans"/>
        </w:rPr>
      </w:pPr>
      <w:r w:rsidRPr="003C0AAB">
        <w:rPr>
          <w:rFonts w:ascii="Open Sans" w:hAnsi="Open Sans" w:cs="Open Sans"/>
        </w:rPr>
        <w:t>Simplifying Workforce Compliance. Protecting Your Business.</w:t>
      </w:r>
    </w:p>
    <w:p w14:paraId="09A94059" w14:textId="1C848B94" w:rsidR="00FD3AB2" w:rsidRPr="003C0AAB" w:rsidRDefault="00FD3AB2" w:rsidP="00FD3AB2">
      <w:pPr>
        <w:pStyle w:val="isselectedend"/>
        <w:rPr>
          <w:rFonts w:ascii="Open Sans" w:hAnsi="Open Sans" w:cs="Open Sans"/>
        </w:rPr>
      </w:pPr>
      <w:r w:rsidRPr="003C0AAB">
        <w:rPr>
          <w:rFonts w:ascii="Open Sans" w:hAnsi="Open Sans" w:cs="Open Sans"/>
        </w:rPr>
        <w:t>Managing Provident Fund (PF) compliances is a critical responsibility for every employer. From registrations and employee onboarding to monthly filings and regulatory inspections, maintaining compliance requires accuracy, consistency, and timely execution.</w:t>
      </w:r>
    </w:p>
    <w:p w14:paraId="635107A0" w14:textId="7D19A8E8" w:rsidR="00BC4588" w:rsidRPr="003C0AAB" w:rsidRDefault="00BC4588" w:rsidP="00BC458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C0AAB">
        <w:rPr>
          <w:rFonts w:ascii="Open Sans" w:eastAsia="Times New Roman" w:hAnsi="Open Sans" w:cs="Open Sans"/>
          <w:kern w:val="0"/>
          <w:sz w:val="24"/>
          <w:szCs w:val="24"/>
          <w:lang w:eastAsia="en-IN"/>
          <w14:ligatures w14:val="none"/>
        </w:rPr>
        <w:t xml:space="preserve">Our team helps businesses complete EPF registration quickly and efficiently while ensuring compliance with applicable regulations. Whether you are a </w:t>
      </w:r>
      <w:proofErr w:type="spellStart"/>
      <w:r w:rsidRPr="003C0AAB">
        <w:rPr>
          <w:rFonts w:ascii="Open Sans" w:eastAsia="Times New Roman" w:hAnsi="Open Sans" w:cs="Open Sans"/>
          <w:kern w:val="0"/>
          <w:sz w:val="24"/>
          <w:szCs w:val="24"/>
          <w:lang w:eastAsia="en-IN"/>
          <w14:ligatures w14:val="none"/>
        </w:rPr>
        <w:t>startup</w:t>
      </w:r>
      <w:proofErr w:type="spellEnd"/>
      <w:r w:rsidRPr="003C0AAB">
        <w:rPr>
          <w:rFonts w:ascii="Open Sans" w:eastAsia="Times New Roman" w:hAnsi="Open Sans" w:cs="Open Sans"/>
          <w:kern w:val="0"/>
          <w:sz w:val="24"/>
          <w:szCs w:val="24"/>
          <w:lang w:eastAsia="en-IN"/>
          <w14:ligatures w14:val="none"/>
        </w:rPr>
        <w:t>, SME, LLP, partnership firm, or private limited company, we provide comprehensive support for all EPF-related requirements</w:t>
      </w:r>
    </w:p>
    <w:p w14:paraId="369E8075" w14:textId="77777777" w:rsidR="00BC4588" w:rsidRPr="003C0AAB" w:rsidRDefault="00BC4588" w:rsidP="00BC458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C0AAB">
        <w:rPr>
          <w:rFonts w:ascii="Open Sans" w:eastAsia="Times New Roman" w:hAnsi="Open Sans" w:cs="Open Sans"/>
          <w:b/>
          <w:bCs/>
          <w:kern w:val="0"/>
          <w:sz w:val="36"/>
          <w:szCs w:val="36"/>
          <w:lang w:eastAsia="en-IN"/>
          <w14:ligatures w14:val="none"/>
        </w:rPr>
        <w:t>1. What is Provident Fund (EPF)?</w:t>
      </w:r>
    </w:p>
    <w:p w14:paraId="79B2E197"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The Employees' Provident Fund (EPF) is a government-backed retirement savings scheme governed by the Employees' Provident Funds and Miscellaneous Provisions Act, 1952. The scheme is administered by the Employees' Provident Fund Organisation (EPFO) and aims to provide long-term financial security to employees.</w:t>
      </w:r>
    </w:p>
    <w:p w14:paraId="5E855CEF"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Under the EPF scheme, both the employer and employee contribute a prescribed percentage of the employee's salary every month, creating a retirement corpus that can be utilized upon retirement, resignation, or under specified circumstances.</w:t>
      </w:r>
    </w:p>
    <w:p w14:paraId="3D4B1910"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Applicability</w:t>
      </w:r>
    </w:p>
    <w:p w14:paraId="050D454C"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 xml:space="preserve">EPF registration is mandatory for establishments employing </w:t>
      </w:r>
      <w:r w:rsidRPr="003C0AAB">
        <w:rPr>
          <w:rFonts w:ascii="Open Sans" w:eastAsia="Times New Roman" w:hAnsi="Open Sans" w:cs="Open Sans"/>
          <w:b/>
          <w:bCs/>
          <w:kern w:val="0"/>
          <w:sz w:val="24"/>
          <w:szCs w:val="24"/>
          <w:lang w:eastAsia="en-IN"/>
          <w14:ligatures w14:val="none"/>
        </w:rPr>
        <w:t>20 or more employees</w:t>
      </w:r>
      <w:r w:rsidRPr="003C0AAB">
        <w:rPr>
          <w:rFonts w:ascii="Open Sans" w:eastAsia="Times New Roman" w:hAnsi="Open Sans" w:cs="Open Sans"/>
          <w:kern w:val="0"/>
          <w:sz w:val="24"/>
          <w:szCs w:val="24"/>
          <w:lang w:eastAsia="en-IN"/>
          <w14:ligatures w14:val="none"/>
        </w:rPr>
        <w:t>, including eligible contract workers. Eligible establishments are required to obtain EPF registration within the prescribed time limit.</w:t>
      </w:r>
    </w:p>
    <w:p w14:paraId="692816D9" w14:textId="77777777" w:rsidR="00BC4588" w:rsidRPr="003C0AAB" w:rsidRDefault="00BC4588" w:rsidP="00BC458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C0AAB">
        <w:rPr>
          <w:rFonts w:ascii="Open Sans" w:eastAsia="Times New Roman" w:hAnsi="Open Sans" w:cs="Open Sans"/>
          <w:b/>
          <w:bCs/>
          <w:kern w:val="0"/>
          <w:sz w:val="36"/>
          <w:szCs w:val="36"/>
          <w:lang w:eastAsia="en-IN"/>
          <w14:ligatures w14:val="none"/>
        </w:rPr>
        <w:t>2. Who is Covered Under the EPF Act?</w:t>
      </w:r>
    </w:p>
    <w:p w14:paraId="42018369"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The EPF Act generally applies to:</w:t>
      </w:r>
    </w:p>
    <w:p w14:paraId="4F1B214B" w14:textId="77777777" w:rsidR="00BC4588" w:rsidRPr="003C0AAB" w:rsidRDefault="00BC4588" w:rsidP="00BC4588">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Establishments employing 20 or more employees</w:t>
      </w:r>
    </w:p>
    <w:p w14:paraId="5ED92564" w14:textId="77777777" w:rsidR="00BC4588" w:rsidRPr="003C0AAB" w:rsidRDefault="00BC4588" w:rsidP="00BC4588">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lastRenderedPageBreak/>
        <w:t>Contract employees working in covered establishments</w:t>
      </w:r>
    </w:p>
    <w:p w14:paraId="4B7C63CA" w14:textId="77777777" w:rsidR="00BC4588" w:rsidRPr="003C0AAB" w:rsidRDefault="00BC4588" w:rsidP="00BC4588">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Certain notified establishments employing fewer than 20 employees</w:t>
      </w:r>
    </w:p>
    <w:p w14:paraId="7E0D1CE3" w14:textId="77777777" w:rsidR="00BC4588" w:rsidRPr="003C0AAB" w:rsidRDefault="00BC4588" w:rsidP="00BC4588">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Organizations opting for voluntary EPF coverage</w:t>
      </w:r>
    </w:p>
    <w:p w14:paraId="581A2EDE"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EPF Contribution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5539"/>
      </w:tblGrid>
      <w:tr w:rsidR="00BC4588" w:rsidRPr="003C0AAB" w14:paraId="44C5AC1D" w14:textId="77777777" w:rsidTr="00FB49F5">
        <w:trPr>
          <w:tblCellSpacing w:w="15" w:type="dxa"/>
        </w:trPr>
        <w:tc>
          <w:tcPr>
            <w:tcW w:w="0" w:type="auto"/>
            <w:vAlign w:val="center"/>
            <w:hideMark/>
          </w:tcPr>
          <w:p w14:paraId="7F84E4F8" w14:textId="77777777" w:rsidR="00BC4588" w:rsidRPr="003C0AAB" w:rsidRDefault="00BC4588" w:rsidP="00FB49F5">
            <w:pPr>
              <w:spacing w:after="0" w:line="240" w:lineRule="auto"/>
              <w:jc w:val="center"/>
              <w:rPr>
                <w:rFonts w:ascii="Open Sans" w:eastAsia="Times New Roman" w:hAnsi="Open Sans" w:cs="Open Sans"/>
                <w:b/>
                <w:bCs/>
                <w:kern w:val="0"/>
                <w:sz w:val="24"/>
                <w:szCs w:val="24"/>
                <w:lang w:eastAsia="en-IN"/>
                <w14:ligatures w14:val="none"/>
              </w:rPr>
            </w:pPr>
            <w:r w:rsidRPr="003C0AAB">
              <w:rPr>
                <w:rFonts w:ascii="Open Sans" w:eastAsia="Times New Roman" w:hAnsi="Open Sans" w:cs="Open Sans"/>
                <w:b/>
                <w:bCs/>
                <w:kern w:val="0"/>
                <w:sz w:val="24"/>
                <w:szCs w:val="24"/>
                <w:lang w:eastAsia="en-IN"/>
                <w14:ligatures w14:val="none"/>
              </w:rPr>
              <w:t>Particulars</w:t>
            </w:r>
          </w:p>
        </w:tc>
        <w:tc>
          <w:tcPr>
            <w:tcW w:w="0" w:type="auto"/>
            <w:vAlign w:val="center"/>
            <w:hideMark/>
          </w:tcPr>
          <w:p w14:paraId="2850F4A2" w14:textId="77777777" w:rsidR="00BC4588" w:rsidRPr="003C0AAB" w:rsidRDefault="00BC4588" w:rsidP="00FB49F5">
            <w:pPr>
              <w:spacing w:after="0" w:line="240" w:lineRule="auto"/>
              <w:jc w:val="center"/>
              <w:rPr>
                <w:rFonts w:ascii="Open Sans" w:eastAsia="Times New Roman" w:hAnsi="Open Sans" w:cs="Open Sans"/>
                <w:b/>
                <w:bCs/>
                <w:kern w:val="0"/>
                <w:sz w:val="24"/>
                <w:szCs w:val="24"/>
                <w:lang w:eastAsia="en-IN"/>
                <w14:ligatures w14:val="none"/>
              </w:rPr>
            </w:pPr>
            <w:r w:rsidRPr="003C0AAB">
              <w:rPr>
                <w:rFonts w:ascii="Open Sans" w:eastAsia="Times New Roman" w:hAnsi="Open Sans" w:cs="Open Sans"/>
                <w:b/>
                <w:bCs/>
                <w:kern w:val="0"/>
                <w:sz w:val="24"/>
                <w:szCs w:val="24"/>
                <w:lang w:eastAsia="en-IN"/>
                <w14:ligatures w14:val="none"/>
              </w:rPr>
              <w:t>Contribution</w:t>
            </w:r>
          </w:p>
        </w:tc>
      </w:tr>
      <w:tr w:rsidR="00BC4588" w:rsidRPr="003C0AAB" w14:paraId="5FD098A0" w14:textId="77777777" w:rsidTr="00FB49F5">
        <w:trPr>
          <w:tblCellSpacing w:w="15" w:type="dxa"/>
        </w:trPr>
        <w:tc>
          <w:tcPr>
            <w:tcW w:w="0" w:type="auto"/>
            <w:vAlign w:val="center"/>
            <w:hideMark/>
          </w:tcPr>
          <w:p w14:paraId="6E68B664" w14:textId="77777777" w:rsidR="00BC4588" w:rsidRPr="003C0AAB" w:rsidRDefault="00BC4588" w:rsidP="00FB49F5">
            <w:pPr>
              <w:spacing w:after="0"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Employee Contribution</w:t>
            </w:r>
          </w:p>
        </w:tc>
        <w:tc>
          <w:tcPr>
            <w:tcW w:w="0" w:type="auto"/>
            <w:vAlign w:val="center"/>
            <w:hideMark/>
          </w:tcPr>
          <w:p w14:paraId="4229FCB6" w14:textId="77777777" w:rsidR="00BC4588" w:rsidRPr="003C0AAB" w:rsidRDefault="00BC4588" w:rsidP="00FB49F5">
            <w:pPr>
              <w:spacing w:after="0"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 xml:space="preserve">             12% of Basic Salary + Dearness Allowance</w:t>
            </w:r>
          </w:p>
        </w:tc>
      </w:tr>
      <w:tr w:rsidR="00BC4588" w:rsidRPr="003C0AAB" w14:paraId="1F9E2B13" w14:textId="77777777" w:rsidTr="00FB49F5">
        <w:trPr>
          <w:tblCellSpacing w:w="15" w:type="dxa"/>
        </w:trPr>
        <w:tc>
          <w:tcPr>
            <w:tcW w:w="0" w:type="auto"/>
            <w:vAlign w:val="center"/>
            <w:hideMark/>
          </w:tcPr>
          <w:p w14:paraId="607C090A" w14:textId="77777777" w:rsidR="00BC4588" w:rsidRPr="003C0AAB" w:rsidRDefault="00BC4588" w:rsidP="00FB49F5">
            <w:pPr>
              <w:spacing w:after="0"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Employer Contribution</w:t>
            </w:r>
          </w:p>
        </w:tc>
        <w:tc>
          <w:tcPr>
            <w:tcW w:w="0" w:type="auto"/>
            <w:vAlign w:val="center"/>
            <w:hideMark/>
          </w:tcPr>
          <w:p w14:paraId="1173B973" w14:textId="77777777" w:rsidR="00BC4588" w:rsidRPr="003C0AAB" w:rsidRDefault="00BC4588" w:rsidP="00FB49F5">
            <w:pPr>
              <w:spacing w:after="0"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 xml:space="preserve">             12% of Basic Salary + Dearness Allowance</w:t>
            </w:r>
          </w:p>
        </w:tc>
      </w:tr>
    </w:tbl>
    <w:p w14:paraId="11E73785"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The employer's contribution is allocated between:</w:t>
      </w:r>
    </w:p>
    <w:p w14:paraId="6E49A4F5" w14:textId="77777777" w:rsidR="00BC4588" w:rsidRPr="003C0AAB" w:rsidRDefault="00BC4588" w:rsidP="00BC4588">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Employees' Provident Fund (EPF)</w:t>
      </w:r>
    </w:p>
    <w:p w14:paraId="1A4A3B53" w14:textId="77777777" w:rsidR="00BC4588" w:rsidRPr="003C0AAB" w:rsidRDefault="00BC4588" w:rsidP="00BC4588">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Employees' Pension Scheme (EPS)</w:t>
      </w:r>
    </w:p>
    <w:p w14:paraId="2CD29D6B"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Important Points</w:t>
      </w:r>
    </w:p>
    <w:p w14:paraId="26EDE98A" w14:textId="77777777" w:rsidR="00BC4588" w:rsidRPr="003C0AAB" w:rsidRDefault="00BC4588" w:rsidP="00BC4588">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EPF registration should be obtained within one month of becoming applicable.</w:t>
      </w:r>
    </w:p>
    <w:p w14:paraId="10251A8B" w14:textId="77777777" w:rsidR="00BC4588" w:rsidRPr="003C0AAB" w:rsidRDefault="00BC4588" w:rsidP="00BC4588">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Once covered, EPF provisions generally continue even if employee strength subsequently falls below the threshold.</w:t>
      </w:r>
    </w:p>
    <w:p w14:paraId="7A77FDF1" w14:textId="77777777" w:rsidR="00BC4588" w:rsidRPr="003C0AAB" w:rsidRDefault="00BC4588" w:rsidP="00BC4588">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Certain establishments may qualify for exemptions under applicable provisions of the law.</w:t>
      </w:r>
    </w:p>
    <w:p w14:paraId="6855F046" w14:textId="77777777" w:rsidR="00BC4588" w:rsidRPr="003C0AAB" w:rsidRDefault="00BC4588" w:rsidP="00BC458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C0AAB">
        <w:rPr>
          <w:rFonts w:ascii="Open Sans" w:eastAsia="Times New Roman" w:hAnsi="Open Sans" w:cs="Open Sans"/>
          <w:b/>
          <w:bCs/>
          <w:kern w:val="0"/>
          <w:sz w:val="36"/>
          <w:szCs w:val="36"/>
          <w:lang w:eastAsia="en-IN"/>
          <w14:ligatures w14:val="none"/>
        </w:rPr>
        <w:t>3. Benefits of EPF Registration</w:t>
      </w:r>
    </w:p>
    <w:p w14:paraId="43EF92A8"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EPF offers several financial and social security benefits to employees:</w:t>
      </w:r>
    </w:p>
    <w:p w14:paraId="58DA2014"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Retirement Benefits</w:t>
      </w:r>
    </w:p>
    <w:p w14:paraId="430D926E"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Pension Benefits</w:t>
      </w:r>
    </w:p>
    <w:p w14:paraId="7AB766C4"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Insurance Coverage</w:t>
      </w:r>
    </w:p>
    <w:p w14:paraId="68EE611D"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Tax Benefits</w:t>
      </w:r>
    </w:p>
    <w:p w14:paraId="1C1095BD"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Easy Transfer &amp; Portability</w:t>
      </w:r>
    </w:p>
    <w:p w14:paraId="434D4555"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Emergency Withdrawals</w:t>
      </w:r>
    </w:p>
    <w:p w14:paraId="0669A746"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Eligible withdrawals for:</w:t>
      </w:r>
    </w:p>
    <w:p w14:paraId="1E42D04B" w14:textId="77777777" w:rsidR="00BC4588" w:rsidRPr="003C0AAB" w:rsidRDefault="00BC4588" w:rsidP="00BC458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lastRenderedPageBreak/>
        <w:t>Medical emergencies</w:t>
      </w:r>
    </w:p>
    <w:p w14:paraId="043D9901" w14:textId="77777777" w:rsidR="00BC4588" w:rsidRPr="003C0AAB" w:rsidRDefault="00BC4588" w:rsidP="00BC458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Higher education</w:t>
      </w:r>
    </w:p>
    <w:p w14:paraId="4A2360FA" w14:textId="77777777" w:rsidR="00BC4588" w:rsidRPr="003C0AAB" w:rsidRDefault="00BC4588" w:rsidP="00BC458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Marriage expenses</w:t>
      </w:r>
    </w:p>
    <w:p w14:paraId="4A4C37B4" w14:textId="77777777" w:rsidR="00BC4588" w:rsidRPr="003C0AAB" w:rsidRDefault="00BC4588" w:rsidP="00BC458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Home purchase or construction</w:t>
      </w:r>
    </w:p>
    <w:p w14:paraId="6901C8E8" w14:textId="77777777" w:rsidR="00BC4588" w:rsidRPr="003C0AAB" w:rsidRDefault="00BC4588" w:rsidP="00BC458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Unemployment and other permitted purposes</w:t>
      </w:r>
    </w:p>
    <w:p w14:paraId="0485684B" w14:textId="77777777" w:rsidR="00BC4588" w:rsidRPr="003C0AAB" w:rsidRDefault="00BC4588" w:rsidP="00BC458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C0AAB">
        <w:rPr>
          <w:rFonts w:ascii="Open Sans" w:eastAsia="Times New Roman" w:hAnsi="Open Sans" w:cs="Open Sans"/>
          <w:b/>
          <w:bCs/>
          <w:kern w:val="0"/>
          <w:sz w:val="36"/>
          <w:szCs w:val="36"/>
          <w:lang w:eastAsia="en-IN"/>
          <w14:ligatures w14:val="none"/>
        </w:rPr>
        <w:t>4. Documents Required for EPF Registration</w:t>
      </w:r>
    </w:p>
    <w:p w14:paraId="0CFEA9F7"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Business Documents</w:t>
      </w:r>
    </w:p>
    <w:p w14:paraId="20CB1C5C" w14:textId="77777777" w:rsidR="00BC4588" w:rsidRPr="003C0AAB" w:rsidRDefault="00BC4588" w:rsidP="00BC4588">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Certificate of Incorporation / Partnership Deed / Registration Certificate</w:t>
      </w:r>
    </w:p>
    <w:p w14:paraId="2B0BAEAB" w14:textId="77777777" w:rsidR="00BC4588" w:rsidRPr="003C0AAB" w:rsidRDefault="00BC4588" w:rsidP="00BC4588">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PAN Card of the Entity or Proprietor</w:t>
      </w:r>
    </w:p>
    <w:p w14:paraId="7A38A744" w14:textId="77777777" w:rsidR="00BC4588" w:rsidRPr="003C0AAB" w:rsidRDefault="00BC4588" w:rsidP="00BC4588">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Address Proof of Business</w:t>
      </w:r>
    </w:p>
    <w:p w14:paraId="6A75D10A" w14:textId="77777777" w:rsidR="00BC4588" w:rsidRPr="003C0AAB" w:rsidRDefault="00BC4588" w:rsidP="00BC4588">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Bank Account Proof (Cancelled Cheque or Bank Statement)</w:t>
      </w:r>
    </w:p>
    <w:p w14:paraId="44E157DB" w14:textId="77777777" w:rsidR="00BC4588" w:rsidRPr="003C0AAB" w:rsidRDefault="00BC4588" w:rsidP="00BC4588">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Details of Business Activity</w:t>
      </w:r>
    </w:p>
    <w:p w14:paraId="13F443A1"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Promoter / Director Documents</w:t>
      </w:r>
    </w:p>
    <w:p w14:paraId="1CD32D84" w14:textId="77777777" w:rsidR="00BC4588" w:rsidRPr="003C0AAB" w:rsidRDefault="00BC4588" w:rsidP="00BC458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PAN Card</w:t>
      </w:r>
    </w:p>
    <w:p w14:paraId="6C85D301" w14:textId="77777777" w:rsidR="00BC4588" w:rsidRPr="003C0AAB" w:rsidRDefault="00BC4588" w:rsidP="00BC458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Aadhaar Card / Identity Proof</w:t>
      </w:r>
    </w:p>
    <w:p w14:paraId="64FCB417" w14:textId="77777777" w:rsidR="00BC4588" w:rsidRPr="003C0AAB" w:rsidRDefault="00BC4588" w:rsidP="00BC458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Address Proof</w:t>
      </w:r>
    </w:p>
    <w:p w14:paraId="4D95B165" w14:textId="77777777" w:rsidR="00BC4588" w:rsidRPr="003C0AAB" w:rsidRDefault="00BC4588" w:rsidP="00BC458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Passport-size Photograph (if required)</w:t>
      </w:r>
    </w:p>
    <w:p w14:paraId="02C33DC5"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Additional Documents</w:t>
      </w:r>
    </w:p>
    <w:p w14:paraId="17256C63"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List of Directors, Partners, or Proprietor Details</w:t>
      </w:r>
    </w:p>
    <w:p w14:paraId="11BBBFD4"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Digital Signature Certificate (DSC) of Authorized Signatory</w:t>
      </w:r>
    </w:p>
    <w:p w14:paraId="6ABAD26C"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Employee Details (if available)</w:t>
      </w:r>
    </w:p>
    <w:p w14:paraId="1C277219"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Contact Details (Mobile Number &amp; Email ID)</w:t>
      </w:r>
    </w:p>
    <w:p w14:paraId="3050DC09"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GST Registration Certificate (if applicable)</w:t>
      </w:r>
    </w:p>
    <w:p w14:paraId="29160C87"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Shop &amp; Establishment Registration (if applicable)</w:t>
      </w:r>
    </w:p>
    <w:p w14:paraId="4DEB66EA" w14:textId="77777777" w:rsidR="00BC4588" w:rsidRPr="003C0AAB" w:rsidRDefault="00BC4588" w:rsidP="00BC4588">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First Sale/Purchase Invoice (where required)</w:t>
      </w:r>
    </w:p>
    <w:p w14:paraId="5AD810F9" w14:textId="77777777" w:rsidR="00BC4588" w:rsidRPr="003C0AAB" w:rsidRDefault="00BC4588" w:rsidP="00BC458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C0AAB">
        <w:rPr>
          <w:rFonts w:ascii="Open Sans" w:eastAsia="Times New Roman" w:hAnsi="Open Sans" w:cs="Open Sans"/>
          <w:b/>
          <w:bCs/>
          <w:kern w:val="0"/>
          <w:sz w:val="36"/>
          <w:szCs w:val="36"/>
          <w:lang w:eastAsia="en-IN"/>
          <w14:ligatures w14:val="none"/>
        </w:rPr>
        <w:t>5. Important Compliance Requirements</w:t>
      </w:r>
    </w:p>
    <w:p w14:paraId="2E1004DD"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Monthly Compliance</w:t>
      </w:r>
    </w:p>
    <w:p w14:paraId="3797550C" w14:textId="77777777" w:rsidR="00BC4588" w:rsidRPr="003C0AAB" w:rsidRDefault="00BC4588" w:rsidP="00BC4588">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EPF contributions must generally be deposited on or before the 15th of the following month.</w:t>
      </w:r>
    </w:p>
    <w:p w14:paraId="43A68121" w14:textId="77777777" w:rsidR="00BC4588" w:rsidRPr="003C0AAB" w:rsidRDefault="00BC4588" w:rsidP="00BC4588">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Monthly electronic return filing is required through the EPFO portal.</w:t>
      </w:r>
    </w:p>
    <w:p w14:paraId="65B4ABAC" w14:textId="77777777" w:rsidR="00BC4588" w:rsidRPr="003C0AAB" w:rsidRDefault="00BC4588" w:rsidP="00BC4588">
      <w:pPr>
        <w:pStyle w:val="Heading2"/>
        <w:rPr>
          <w:rFonts w:ascii="Open Sans" w:hAnsi="Open Sans" w:cs="Open Sans"/>
        </w:rPr>
      </w:pPr>
      <w:r w:rsidRPr="003C0AAB">
        <w:rPr>
          <w:rFonts w:ascii="Open Sans" w:hAnsi="Open Sans" w:cs="Open Sans"/>
          <w:sz w:val="24"/>
          <w:szCs w:val="24"/>
        </w:rPr>
        <w:t>.</w:t>
      </w:r>
      <w:r w:rsidRPr="003C0AAB">
        <w:rPr>
          <w:rFonts w:ascii="Open Sans" w:hAnsi="Open Sans" w:cs="Open Sans"/>
        </w:rPr>
        <w:t xml:space="preserve"> Frequently Asked Questions (FAQs)</w:t>
      </w:r>
    </w:p>
    <w:p w14:paraId="5F2AD9C6"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lastRenderedPageBreak/>
        <w:t>1. What is EPF Registration?</w:t>
      </w:r>
    </w:p>
    <w:p w14:paraId="09F1572D"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EPF Registration is the process of enrolling an eligible establishment under the Employees' Provident Fund (EPF) Scheme administered by the Employees' Provident Fund Organisation (EPFO). It enables employers to provide retirement, pension, and insurance benefits to employees.</w:t>
      </w:r>
    </w:p>
    <w:p w14:paraId="0AAA0F73"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2. Is EPF Registration Mandatory?</w:t>
      </w:r>
    </w:p>
    <w:p w14:paraId="391F67CC"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Yes. EPF registration is mandatory for establishments employing 20 or more employees. Certain establishments with fewer employees may also opt for voluntary coverage.</w:t>
      </w:r>
    </w:p>
    <w:p w14:paraId="04DDDFB8"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3. Who is Eligible for EPF Membership?</w:t>
      </w:r>
    </w:p>
    <w:p w14:paraId="4EDC4AD1"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Generally, employees working in EPF-covered establishments are eligible to become members of the EPF Scheme as per applicable EPFO regulations.</w:t>
      </w:r>
    </w:p>
    <w:p w14:paraId="742F1DDF"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4. What is UAN (Universal Account Number)?</w:t>
      </w:r>
    </w:p>
    <w:p w14:paraId="4E99EE12"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UAN is a unique number allotted by EPFO that links all PF accounts of an employee, enabling easy account management, transfers, and online access to EPF services.</w:t>
      </w:r>
    </w:p>
    <w:p w14:paraId="024EFE56"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5.. Can an Employee Have Multiple UANs?</w:t>
      </w:r>
    </w:p>
    <w:p w14:paraId="2B7FDBE5"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No. An employee should have only one UAN throughout their employment career, irrespective of job changes.</w:t>
      </w:r>
    </w:p>
    <w:p w14:paraId="6323B1F0"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6. What Happens If Employee Strength Falls Below 20?</w:t>
      </w:r>
    </w:p>
    <w:p w14:paraId="6B6E3B8C"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Once EPF becomes applicable to an establishment, it generally continues to remain covered even if the employee count subsequently falls below 20.</w:t>
      </w:r>
    </w:p>
    <w:p w14:paraId="7EEF5142"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7. Is EPF Applicable to Contract Employees?</w:t>
      </w:r>
    </w:p>
    <w:p w14:paraId="3E0D444B"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Yes. Eligible contract employees working in covered establishments are generally required to be covered under the EPF Scheme.</w:t>
      </w:r>
    </w:p>
    <w:p w14:paraId="1E01B9B4"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t>8. What Are the Consequences of Non-Compliance?</w:t>
      </w:r>
    </w:p>
    <w:p w14:paraId="433DFAAB"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C0AAB">
        <w:rPr>
          <w:rFonts w:ascii="Open Sans" w:eastAsia="Times New Roman" w:hAnsi="Open Sans" w:cs="Open Sans"/>
          <w:kern w:val="0"/>
          <w:sz w:val="24"/>
          <w:szCs w:val="24"/>
          <w:lang w:eastAsia="en-IN"/>
          <w14:ligatures w14:val="none"/>
        </w:rPr>
        <w:t>Failure to obtain EPF registration or deposit contributions on time may result in interest, penalties, damages, and legal action under the EPF Act.</w:t>
      </w:r>
    </w:p>
    <w:p w14:paraId="3BC64884" w14:textId="77777777" w:rsidR="00BC4588" w:rsidRPr="003C0AAB" w:rsidRDefault="00BC4588" w:rsidP="00BC458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C0AAB">
        <w:rPr>
          <w:rFonts w:ascii="Open Sans" w:eastAsia="Times New Roman" w:hAnsi="Open Sans" w:cs="Open Sans"/>
          <w:b/>
          <w:bCs/>
          <w:kern w:val="0"/>
          <w:sz w:val="27"/>
          <w:szCs w:val="27"/>
          <w:lang w:eastAsia="en-IN"/>
          <w14:ligatures w14:val="none"/>
        </w:rPr>
        <w:lastRenderedPageBreak/>
        <w:t xml:space="preserve">9. Why Choose </w:t>
      </w:r>
      <w:proofErr w:type="spellStart"/>
      <w:r w:rsidRPr="003C0AAB">
        <w:rPr>
          <w:rFonts w:ascii="Open Sans" w:eastAsia="Times New Roman" w:hAnsi="Open Sans" w:cs="Open Sans"/>
          <w:b/>
          <w:bCs/>
          <w:kern w:val="0"/>
          <w:sz w:val="27"/>
          <w:szCs w:val="27"/>
          <w:lang w:eastAsia="en-IN"/>
          <w14:ligatures w14:val="none"/>
        </w:rPr>
        <w:t>ConsultAvenuee</w:t>
      </w:r>
      <w:proofErr w:type="spellEnd"/>
      <w:r w:rsidRPr="003C0AAB">
        <w:rPr>
          <w:rFonts w:ascii="Open Sans" w:eastAsia="Times New Roman" w:hAnsi="Open Sans" w:cs="Open Sans"/>
          <w:b/>
          <w:bCs/>
          <w:kern w:val="0"/>
          <w:sz w:val="27"/>
          <w:szCs w:val="27"/>
          <w:lang w:eastAsia="en-IN"/>
          <w14:ligatures w14:val="none"/>
        </w:rPr>
        <w:t xml:space="preserve"> for EPF Registration?</w:t>
      </w:r>
    </w:p>
    <w:p w14:paraId="40D8B3FD" w14:textId="77777777" w:rsidR="00BC4588" w:rsidRPr="003C0AAB" w:rsidRDefault="00BC4588" w:rsidP="00BC4588">
      <w:p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3C0AAB">
        <w:rPr>
          <w:rFonts w:ascii="Open Sans" w:eastAsia="Times New Roman" w:hAnsi="Open Sans" w:cs="Open Sans"/>
          <w:kern w:val="0"/>
          <w:sz w:val="24"/>
          <w:szCs w:val="24"/>
          <w:lang w:eastAsia="en-IN"/>
          <w14:ligatures w14:val="none"/>
        </w:rPr>
        <w:t>ConsultAvenuee</w:t>
      </w:r>
      <w:proofErr w:type="spellEnd"/>
      <w:r w:rsidRPr="003C0AAB">
        <w:rPr>
          <w:rFonts w:ascii="Open Sans" w:eastAsia="Times New Roman" w:hAnsi="Open Sans" w:cs="Open Sans"/>
          <w:kern w:val="0"/>
          <w:sz w:val="24"/>
          <w:szCs w:val="24"/>
          <w:lang w:eastAsia="en-IN"/>
          <w14:ligatures w14:val="none"/>
        </w:rPr>
        <w:t xml:space="preserve"> offers end-to-end assistance for EPF registration, PF code allotment, employee </w:t>
      </w:r>
      <w:proofErr w:type="spellStart"/>
      <w:r w:rsidRPr="003C0AAB">
        <w:rPr>
          <w:rFonts w:ascii="Open Sans" w:eastAsia="Times New Roman" w:hAnsi="Open Sans" w:cs="Open Sans"/>
          <w:kern w:val="0"/>
          <w:sz w:val="24"/>
          <w:szCs w:val="24"/>
          <w:lang w:eastAsia="en-IN"/>
          <w14:ligatures w14:val="none"/>
        </w:rPr>
        <w:t>enrollment</w:t>
      </w:r>
      <w:proofErr w:type="spellEnd"/>
      <w:r w:rsidRPr="003C0AAB">
        <w:rPr>
          <w:rFonts w:ascii="Open Sans" w:eastAsia="Times New Roman" w:hAnsi="Open Sans" w:cs="Open Sans"/>
          <w:kern w:val="0"/>
          <w:sz w:val="24"/>
          <w:szCs w:val="24"/>
          <w:lang w:eastAsia="en-IN"/>
          <w14:ligatures w14:val="none"/>
        </w:rPr>
        <w:t>, UAN support, compliance management, and ongoing advisory services, ensuring seamless compliance with EPFO regulations.</w:t>
      </w:r>
    </w:p>
    <w:p w14:paraId="7E53937F" w14:textId="3299ACCA" w:rsidR="002229CA" w:rsidRPr="003C0AAB" w:rsidRDefault="002229CA" w:rsidP="00BC4588">
      <w:pPr>
        <w:rPr>
          <w:rFonts w:ascii="Open Sans" w:hAnsi="Open Sans" w:cs="Open Sans"/>
        </w:rPr>
      </w:pPr>
    </w:p>
    <w:sectPr w:rsidR="002229CA" w:rsidRPr="003C0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E76DA"/>
    <w:multiLevelType w:val="multilevel"/>
    <w:tmpl w:val="CAB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D562B"/>
    <w:multiLevelType w:val="multilevel"/>
    <w:tmpl w:val="CF5E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79B"/>
    <w:multiLevelType w:val="multilevel"/>
    <w:tmpl w:val="7F5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3EAA"/>
    <w:multiLevelType w:val="multilevel"/>
    <w:tmpl w:val="9CE6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832BC"/>
    <w:multiLevelType w:val="multilevel"/>
    <w:tmpl w:val="0B3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8071F"/>
    <w:multiLevelType w:val="multilevel"/>
    <w:tmpl w:val="DDD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A3A0F"/>
    <w:multiLevelType w:val="multilevel"/>
    <w:tmpl w:val="27A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E0C19"/>
    <w:multiLevelType w:val="multilevel"/>
    <w:tmpl w:val="8DE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252A1"/>
    <w:multiLevelType w:val="multilevel"/>
    <w:tmpl w:val="426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D3B9B"/>
    <w:multiLevelType w:val="multilevel"/>
    <w:tmpl w:val="B24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E39AA"/>
    <w:multiLevelType w:val="multilevel"/>
    <w:tmpl w:val="FA3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33290"/>
    <w:multiLevelType w:val="multilevel"/>
    <w:tmpl w:val="D65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B38"/>
    <w:multiLevelType w:val="multilevel"/>
    <w:tmpl w:val="207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41D20"/>
    <w:multiLevelType w:val="multilevel"/>
    <w:tmpl w:val="1F6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D5C74"/>
    <w:multiLevelType w:val="multilevel"/>
    <w:tmpl w:val="119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035EC"/>
    <w:multiLevelType w:val="multilevel"/>
    <w:tmpl w:val="D5F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C1F1A"/>
    <w:multiLevelType w:val="multilevel"/>
    <w:tmpl w:val="BB6A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1"/>
  </w:num>
  <w:num w:numId="5">
    <w:abstractNumId w:val="10"/>
  </w:num>
  <w:num w:numId="6">
    <w:abstractNumId w:val="5"/>
  </w:num>
  <w:num w:numId="7">
    <w:abstractNumId w:val="9"/>
  </w:num>
  <w:num w:numId="8">
    <w:abstractNumId w:val="16"/>
  </w:num>
  <w:num w:numId="9">
    <w:abstractNumId w:val="15"/>
  </w:num>
  <w:num w:numId="10">
    <w:abstractNumId w:val="13"/>
  </w:num>
  <w:num w:numId="11">
    <w:abstractNumId w:val="12"/>
  </w:num>
  <w:num w:numId="12">
    <w:abstractNumId w:val="14"/>
  </w:num>
  <w:num w:numId="13">
    <w:abstractNumId w:val="6"/>
  </w:num>
  <w:num w:numId="14">
    <w:abstractNumId w:val="3"/>
  </w:num>
  <w:num w:numId="15">
    <w:abstractNumId w:val="8"/>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99C"/>
    <w:rsid w:val="002000CC"/>
    <w:rsid w:val="002229CA"/>
    <w:rsid w:val="003C0AAB"/>
    <w:rsid w:val="003E1954"/>
    <w:rsid w:val="004B2F91"/>
    <w:rsid w:val="00525DA4"/>
    <w:rsid w:val="00812BD1"/>
    <w:rsid w:val="00930E9B"/>
    <w:rsid w:val="00BC4588"/>
    <w:rsid w:val="00BD7387"/>
    <w:rsid w:val="00C7499C"/>
    <w:rsid w:val="00D03175"/>
    <w:rsid w:val="00FD3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95A26"/>
  <w15:chartTrackingRefBased/>
  <w15:docId w15:val="{DAB69907-8818-4FAF-9833-597C612D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588"/>
  </w:style>
  <w:style w:type="paragraph" w:styleId="Heading1">
    <w:name w:val="heading 1"/>
    <w:basedOn w:val="Normal"/>
    <w:link w:val="Heading1Char"/>
    <w:uiPriority w:val="9"/>
    <w:qFormat/>
    <w:rsid w:val="00C749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7499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7499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9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7499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7499C"/>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C749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7499C"/>
    <w:rPr>
      <w:b/>
      <w:bCs/>
    </w:rPr>
  </w:style>
  <w:style w:type="paragraph" w:styleId="NormalWeb">
    <w:name w:val="Normal (Web)"/>
    <w:basedOn w:val="Normal"/>
    <w:uiPriority w:val="99"/>
    <w:semiHidden/>
    <w:unhideWhenUsed/>
    <w:rsid w:val="00C749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734023">
      <w:bodyDiv w:val="1"/>
      <w:marLeft w:val="0"/>
      <w:marRight w:val="0"/>
      <w:marTop w:val="0"/>
      <w:marBottom w:val="0"/>
      <w:divBdr>
        <w:top w:val="none" w:sz="0" w:space="0" w:color="auto"/>
        <w:left w:val="none" w:sz="0" w:space="0" w:color="auto"/>
        <w:bottom w:val="none" w:sz="0" w:space="0" w:color="auto"/>
        <w:right w:val="none" w:sz="0" w:space="0" w:color="auto"/>
      </w:divBdr>
    </w:div>
    <w:div w:id="930774573">
      <w:bodyDiv w:val="1"/>
      <w:marLeft w:val="0"/>
      <w:marRight w:val="0"/>
      <w:marTop w:val="0"/>
      <w:marBottom w:val="0"/>
      <w:divBdr>
        <w:top w:val="none" w:sz="0" w:space="0" w:color="auto"/>
        <w:left w:val="none" w:sz="0" w:space="0" w:color="auto"/>
        <w:bottom w:val="none" w:sz="0" w:space="0" w:color="auto"/>
        <w:right w:val="none" w:sz="0" w:space="0" w:color="auto"/>
      </w:divBdr>
      <w:divsChild>
        <w:div w:id="992559283">
          <w:marLeft w:val="0"/>
          <w:marRight w:val="0"/>
          <w:marTop w:val="0"/>
          <w:marBottom w:val="0"/>
          <w:divBdr>
            <w:top w:val="none" w:sz="0" w:space="0" w:color="auto"/>
            <w:left w:val="none" w:sz="0" w:space="0" w:color="auto"/>
            <w:bottom w:val="none" w:sz="0" w:space="0" w:color="auto"/>
            <w:right w:val="none" w:sz="0" w:space="0" w:color="auto"/>
          </w:divBdr>
        </w:div>
        <w:div w:id="359089264">
          <w:marLeft w:val="0"/>
          <w:marRight w:val="0"/>
          <w:marTop w:val="0"/>
          <w:marBottom w:val="0"/>
          <w:divBdr>
            <w:top w:val="none" w:sz="0" w:space="0" w:color="auto"/>
            <w:left w:val="none" w:sz="0" w:space="0" w:color="auto"/>
            <w:bottom w:val="none" w:sz="0" w:space="0" w:color="auto"/>
            <w:right w:val="none" w:sz="0" w:space="0" w:color="auto"/>
          </w:divBdr>
        </w:div>
        <w:div w:id="810945242">
          <w:marLeft w:val="0"/>
          <w:marRight w:val="0"/>
          <w:marTop w:val="0"/>
          <w:marBottom w:val="0"/>
          <w:divBdr>
            <w:top w:val="none" w:sz="0" w:space="0" w:color="auto"/>
            <w:left w:val="none" w:sz="0" w:space="0" w:color="auto"/>
            <w:bottom w:val="none" w:sz="0" w:space="0" w:color="auto"/>
            <w:right w:val="none" w:sz="0" w:space="0" w:color="auto"/>
          </w:divBdr>
        </w:div>
        <w:div w:id="1595699823">
          <w:marLeft w:val="0"/>
          <w:marRight w:val="0"/>
          <w:marTop w:val="0"/>
          <w:marBottom w:val="0"/>
          <w:divBdr>
            <w:top w:val="none" w:sz="0" w:space="0" w:color="auto"/>
            <w:left w:val="none" w:sz="0" w:space="0" w:color="auto"/>
            <w:bottom w:val="none" w:sz="0" w:space="0" w:color="auto"/>
            <w:right w:val="none" w:sz="0" w:space="0" w:color="auto"/>
          </w:divBdr>
        </w:div>
        <w:div w:id="570234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9</cp:revision>
  <dcterms:created xsi:type="dcterms:W3CDTF">2026-06-05T14:55:00Z</dcterms:created>
  <dcterms:modified xsi:type="dcterms:W3CDTF">2026-06-08T08:48:00Z</dcterms:modified>
</cp:coreProperties>
</file>