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sdfgh</w:t>
      </w:r>
    </w:p>
    <w:p>
      <w:pPr>
        <w:pStyle w:val="Heading1"/>
      </w:pPr>
      <w:r>
        <w:t>1. Executive Summary</w:t>
      </w:r>
    </w:p>
    <w:p>
      <w:r>
        <w:t>Decision: Approve</w:t>
      </w:r>
    </w:p>
    <w:p>
      <w:r>
        <w:t>Risk Rating: A (Low Risk)</w:t>
      </w:r>
    </w:p>
    <w:p>
      <w:r>
        <w:t>Probability of Default: 35.00%</w:t>
      </w:r>
    </w:p>
    <w:p>
      <w:pPr>
        <w:pStyle w:val="Heading1"/>
      </w:pPr>
      <w:r>
        <w:t>2. Analyst Narrative</w:t>
      </w:r>
    </w:p>
    <w:p>
      <w:r>
        <w:t>sdfgh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0.00</w:t>
            </w:r>
          </w:p>
        </w:tc>
      </w:tr>
      <w:tr>
        <w:tc>
          <w:tcPr>
            <w:tcW w:type="dxa" w:w="4320"/>
          </w:tcPr>
          <w:p>
            <w:r>
              <w:t>Total Debt</w:t>
            </w:r>
          </w:p>
        </w:tc>
        <w:tc>
          <w:tcPr>
            <w:tcW w:type="dxa" w:w="4320"/>
          </w:tcPr>
          <w:p>
            <w:r>
              <w:t>3.00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79,392.00</w:t>
            </w:r>
          </w:p>
        </w:tc>
      </w:tr>
      <w:tr>
        <w:tc>
          <w:tcPr>
            <w:tcW w:type="dxa" w:w="4320"/>
          </w:tcPr>
          <w:p>
            <w:r>
              <w:t>Current Assets</w:t>
            </w:r>
          </w:p>
        </w:tc>
        <w:tc>
          <w:tcPr>
            <w:tcW w:type="dxa" w:w="4320"/>
          </w:tcPr>
          <w:p>
            <w:r>
              <w:t>5.00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2,718.00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r>
        <w:tc>
          <w:tcPr>
            <w:tcW w:type="dxa" w:w="4320"/>
          </w:tcPr>
          <w:p>
            <w:r>
              <w:t>GST Turnover</w:t>
            </w:r>
          </w:p>
        </w:tc>
        <w:tc>
          <w:tcPr>
            <w:tcW w:type="dxa" w:w="4320"/>
          </w:tcPr>
          <w:p>
            <w:r>
              <w:t>0.00</w:t>
            </w:r>
          </w:p>
        </w:tc>
      </w:tr>
      <w:tr>
        <w:tc>
          <w:tcPr>
            <w:tcW w:type="dxa" w:w="4320"/>
          </w:tcPr>
          <w:p>
            <w:r>
              <w:t>Tax Paid (ITR)</w:t>
            </w:r>
          </w:p>
        </w:tc>
        <w:tc>
          <w:tcPr>
            <w:tcW w:type="dxa" w:w="4320"/>
          </w:tcPr>
          <w:p>
            <w:r>
              <w:t>0.00</w:t>
            </w:r>
          </w:p>
        </w:tc>
      </w:tr>
      <w:tr>
        <w:tc>
          <w:tcPr>
            <w:tcW w:type="dxa" w:w="4320"/>
          </w:tcPr>
          <w:p>
            <w:r>
              <w:t>Trade Receivables</w:t>
            </w:r>
          </w:p>
        </w:tc>
        <w:tc>
          <w:tcPr>
            <w:tcW w:type="dxa" w:w="4320"/>
          </w:tcPr>
          <w:p>
            <w:r>
              <w:t>0.00</w:t>
            </w:r>
          </w:p>
        </w:tc>
      </w:tr>
      <w:tr>
        <w:tc>
          <w:tcPr>
            <w:tcW w:type="dxa" w:w="4320"/>
          </w:tcPr>
          <w:p>
            <w:r>
              <w:t>Trade Payables</w:t>
            </w:r>
          </w:p>
        </w:tc>
        <w:tc>
          <w:tcPr>
            <w:tcW w:type="dxa" w:w="4320"/>
          </w:tcPr>
          <w:p>
            <w:r>
              <w:t>0.00</w:t>
            </w:r>
          </w:p>
        </w:tc>
      </w:tr>
      <w:tr>
        <w:tc>
          <w:tcPr>
            <w:tcW w:type="dxa" w:w="4320"/>
          </w:tcPr>
          <w:p>
            <w:r>
              <w:t>Promoter Shareholding %</w:t>
            </w:r>
          </w:p>
        </w:tc>
        <w:tc>
          <w:tcPr>
            <w:tcW w:type="dxa" w:w="4320"/>
          </w:tcPr>
          <w:p>
            <w:r>
              <w:t>0.00</w:t>
            </w:r>
          </w:p>
        </w:tc>
      </w:tr>
      <w:tr>
        <w:tc>
          <w:tcPr>
            <w:tcW w:type="dxa" w:w="4320"/>
          </w:tcPr>
          <w:p>
            <w:r>
              <w:t>CIBIL / CMR Score</w:t>
            </w:r>
          </w:p>
        </w:tc>
        <w:tc>
          <w:tcPr>
            <w:tcW w:type="dxa" w:w="4320"/>
          </w:tcPr>
          <w:p>
            <w:r>
              <w:t>0.00</w:t>
            </w:r>
          </w:p>
        </w:tc>
      </w:tr>
      <w:tr>
        <w:tc>
          <w:tcPr>
            <w:tcW w:type="dxa" w:w="4320"/>
          </w:tcPr>
          <w:p>
            <w:r>
              <w:t>Fixed Assets</w:t>
            </w:r>
          </w:p>
        </w:tc>
        <w:tc>
          <w:tcPr>
            <w:tcW w:type="dxa" w:w="4320"/>
          </w:tcPr>
          <w:p>
            <w:r>
              <w:t>0.00</w:t>
            </w:r>
          </w:p>
        </w:tc>
      </w:tr>
    </w:tbl>
    <w:p>
      <w:pPr>
        <w:pStyle w:val="Heading1"/>
      </w:pPr>
      <w:r>
        <w:t>4. Five C's Assessment</w:t>
      </w:r>
    </w:p>
    <w:p>
      <w:pPr>
        <w:pStyle w:val="ListBullet"/>
      </w:pPr>
      <w:r>
        <w:t>Character: 8.0/10 – Clean public record detected.</w:t>
      </w:r>
    </w:p>
    <w:p>
      <w:pPr>
        <w:pStyle w:val="ListBullet"/>
      </w:pPr>
      <w:r>
        <w:t>Capacity: 7.7/10 – Profit margin 0.0%, DSCR 176426.67x, Interest Coverage 93.72x.</w:t>
      </w:r>
    </w:p>
    <w:p>
      <w:pPr>
        <w:pStyle w:val="ListBullet"/>
      </w:pPr>
      <w:r>
        <w:t>Capital: 7.0/10 – D/E ratio 0.00, ROA 0.0%.</w:t>
      </w:r>
    </w:p>
    <w:p>
      <w:pPr>
        <w:pStyle w:val="ListBullet"/>
      </w:pPr>
      <w:r>
        <w:t>Collateral: 10/10 – Current ratio 0.26x, estimated asset coverage vs loan.</w:t>
      </w:r>
    </w:p>
    <w:p>
      <w:pPr>
        <w:pStyle w:val="ListBullet"/>
      </w:pPr>
      <w:r>
        <w:t>Conditions: 6.0/10 – No sector-level signals retrieved.</w:t>
      </w:r>
    </w:p>
    <w:p>
      <w:pPr>
        <w:pStyle w:val="Heading1"/>
      </w:pPr>
      <w:r>
        <w:t>5. Key Decision Drivers (XAI)</w:t>
      </w:r>
    </w:p>
    <w:p>
      <w:pPr>
        <w:pStyle w:val="ListBullet"/>
      </w:pPr>
      <w:r>
        <w:t>▲ Low Debt-to-Equity ratio (0.00x) → strong capital structure ↓ Risk</w:t>
      </w:r>
    </w:p>
    <w:p>
      <w:pPr>
        <w:pStyle w:val="ListBullet"/>
      </w:pPr>
      <w:r>
        <w:t>▲ Healthy cash-flow debt coverage (26464.00x) → liquidity assured ↓ Risk</w:t>
      </w:r>
    </w:p>
    <w:p>
      <w:pPr>
        <w:pStyle w:val="ListBullet"/>
      </w:pPr>
      <w:r>
        <w:t>▲ Strong interest coverage (93.72x) → servicing capacity assured ↓ Risk</w:t>
      </w:r>
    </w:p>
    <w:p>
      <w:pPr>
        <w:pStyle w:val="ListBullet"/>
      </w:pPr>
      <w:r>
        <w:t>▲ DSCR 176426.67x → loan repayment capacity is comfortable ↓ Risk</w:t>
      </w:r>
    </w:p>
    <w:p>
      <w:pPr>
        <w:pStyle w:val="ListBullet"/>
      </w:pPr>
      <w:r>
        <w:t>▼ Thin profit margin (0.0%) → limited downside buffer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