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Credit Appraisal Memo – Reliance Industries Limited</w:t>
      </w:r>
    </w:p>
    <w:p>
      <w:pPr>
        <w:pStyle w:val="Heading1"/>
      </w:pPr>
      <w:r>
        <w:t>1. Executive Summary</w:t>
      </w:r>
    </w:p>
    <w:p>
      <w:r>
        <w:t>Decision: Approve with Conditions</w:t>
      </w:r>
    </w:p>
    <w:p>
      <w:r>
        <w:t>Risk Rating: B+ (Moderate Risk)</w:t>
      </w:r>
    </w:p>
    <w:p>
      <w:r>
        <w:t>Probability of Default: 43.50%</w:t>
      </w:r>
    </w:p>
    <w:p>
      <w:pPr>
        <w:pStyle w:val="Heading1"/>
      </w:pPr>
      <w:r>
        <w:t>2. Analyst Narrative</w:t>
      </w:r>
    </w:p>
    <w:p>
      <w:r>
        <w:t>Reliance Industries Limited demonstrates a financial profile broadly aligned with the requested credit facility. Operating cash flows provide reasonable debt service coverage, and the balance sheet position supports repayment over the proposed tenure. Key financial metrics have been reviewed against sector benchmarks.</w:t>
      </w:r>
    </w:p>
    <w:p>
      <w:r>
        <w:t>Secondary research indicates manageable external risk levels. The recommendation is consistent with the quantitative risk model output. Monitoring covenants are advised as standard practice for the assigned risk grade.</w:t>
      </w:r>
    </w:p>
    <w:p>
      <w:pPr>
        <w:pStyle w:val="Heading1"/>
      </w:pPr>
      <w:r>
        <w:t>3. Financial Overview (INR Crores)</w:t>
      </w:r>
    </w:p>
    <w:tbl>
      <w:tblPr>
        <w:tblW w:type="auto" w:w="0"/>
        <w:tblLook w:firstColumn="1" w:firstRow="1" w:lastColumn="0" w:lastRow="0" w:noHBand="0" w:noVBand="1" w:val="04A0"/>
      </w:tblPr>
      <w:tblGrid>
        <w:gridCol w:w="4320"/>
        <w:gridCol w:w="4320"/>
      </w:tblGrid>
      <w:tr>
        <w:tc>
          <w:tcPr>
            <w:tcW w:type="dxa" w:w="4320"/>
          </w:tcPr>
          <w:p>
            <w:r>
              <w:t>Metric</w:t>
            </w:r>
          </w:p>
        </w:tc>
        <w:tc>
          <w:tcPr>
            <w:tcW w:type="dxa" w:w="4320"/>
          </w:tcPr>
          <w:p>
            <w:r>
              <w:t>Value</w:t>
            </w:r>
          </w:p>
        </w:tc>
      </w:tr>
      <w:tr>
        <w:tc>
          <w:tcPr>
            <w:tcW w:type="dxa" w:w="4320"/>
          </w:tcPr>
          <w:p>
            <w:r>
              <w:t>Revenue</w:t>
            </w:r>
          </w:p>
        </w:tc>
        <w:tc>
          <w:tcPr>
            <w:tcW w:type="dxa" w:w="4320"/>
          </w:tcPr>
          <w:p>
            <w:r>
              <w:t>116,773.00</w:t>
            </w:r>
          </w:p>
        </w:tc>
      </w:tr>
      <w:tr>
        <w:tc>
          <w:tcPr>
            <w:tcW w:type="dxa" w:w="4320"/>
          </w:tcPr>
          <w:p>
            <w:r>
              <w:t>Net Profit</w:t>
            </w:r>
          </w:p>
        </w:tc>
        <w:tc>
          <w:tcPr>
            <w:tcW w:type="dxa" w:w="4320"/>
          </w:tcPr>
          <w:p>
            <w:r>
              <w:t>81,309.00</w:t>
            </w:r>
          </w:p>
        </w:tc>
      </w:tr>
      <w:tr>
        <w:tc>
          <w:tcPr>
            <w:tcW w:type="dxa" w:w="4320"/>
          </w:tcPr>
          <w:p>
            <w:r>
              <w:t>Total Debt</w:t>
            </w:r>
          </w:p>
        </w:tc>
        <w:tc>
          <w:tcPr>
            <w:tcW w:type="dxa" w:w="4320"/>
          </w:tcPr>
          <w:p>
            <w:r>
              <w:t>479,314.00</w:t>
            </w:r>
          </w:p>
        </w:tc>
      </w:tr>
      <w:tr>
        <w:tc>
          <w:tcPr>
            <w:tcW w:type="dxa" w:w="4320"/>
          </w:tcPr>
          <w:p>
            <w:r>
              <w:t>Total Assets</w:t>
            </w:r>
          </w:p>
        </w:tc>
        <w:tc>
          <w:tcPr>
            <w:tcW w:type="dxa" w:w="4320"/>
          </w:tcPr>
          <w:p>
            <w:r>
              <w:t>228,151.00</w:t>
            </w:r>
          </w:p>
        </w:tc>
      </w:tr>
      <w:tr>
        <w:tc>
          <w:tcPr>
            <w:tcW w:type="dxa" w:w="4320"/>
          </w:tcPr>
          <w:p>
            <w:r>
              <w:t>Operating Cash Flow</w:t>
            </w:r>
          </w:p>
        </w:tc>
        <w:tc>
          <w:tcPr>
            <w:tcW w:type="dxa" w:w="4320"/>
          </w:tcPr>
          <w:p>
            <w:r>
              <w:t>88,553.00</w:t>
            </w:r>
          </w:p>
        </w:tc>
      </w:tr>
      <w:tr>
        <w:tc>
          <w:tcPr>
            <w:tcW w:type="dxa" w:w="4320"/>
          </w:tcPr>
          <w:p>
            <w:r>
              <w:t>Current Assets</w:t>
            </w:r>
          </w:p>
        </w:tc>
        <w:tc>
          <w:tcPr>
            <w:tcW w:type="dxa" w:w="4320"/>
          </w:tcPr>
          <w:p>
            <w:r>
              <w:t>0.00</w:t>
            </w:r>
          </w:p>
        </w:tc>
      </w:tr>
      <w:tr>
        <w:tc>
          <w:tcPr>
            <w:tcW w:type="dxa" w:w="4320"/>
          </w:tcPr>
          <w:p>
            <w:r>
              <w:t>Current Liabilities</w:t>
            </w:r>
          </w:p>
        </w:tc>
        <w:tc>
          <w:tcPr>
            <w:tcW w:type="dxa" w:w="4320"/>
          </w:tcPr>
          <w:p>
            <w:r>
              <w:t>19.00</w:t>
            </w:r>
          </w:p>
        </w:tc>
      </w:tr>
      <w:tr>
        <w:tc>
          <w:tcPr>
            <w:tcW w:type="dxa" w:w="4320"/>
          </w:tcPr>
          <w:p>
            <w:r>
              <w:t>Interest Expense</w:t>
            </w:r>
          </w:p>
        </w:tc>
        <w:tc>
          <w:tcPr>
            <w:tcW w:type="dxa" w:w="4320"/>
          </w:tcPr>
          <w:p>
            <w:r>
              <w:t>29.00</w:t>
            </w:r>
          </w:p>
        </w:tc>
      </w:tr>
      <w:tr>
        <w:tc>
          <w:tcPr>
            <w:tcW w:type="dxa" w:w="4320"/>
          </w:tcPr>
          <w:p>
            <w:r>
              <w:t>EBIT</w:t>
            </w:r>
          </w:p>
        </w:tc>
        <w:tc>
          <w:tcPr>
            <w:tcW w:type="dxa" w:w="4320"/>
          </w:tcPr>
          <w:p>
            <w:r>
              <w:t>0.00</w:t>
            </w:r>
          </w:p>
        </w:tc>
      </w:tr>
      <w:tr>
        <w:tc>
          <w:tcPr>
            <w:tcW w:type="dxa" w:w="4320"/>
          </w:tcPr>
          <w:p>
            <w:r>
              <w:t>EBITDA</w:t>
            </w:r>
          </w:p>
        </w:tc>
        <w:tc>
          <w:tcPr>
            <w:tcW w:type="dxa" w:w="4320"/>
          </w:tcPr>
          <w:p>
            <w:r>
              <w:t>2,191.00</w:t>
            </w:r>
          </w:p>
        </w:tc>
      </w:tr>
      <w:tr>
        <w:tc>
          <w:tcPr>
            <w:tcW w:type="dxa" w:w="4320"/>
          </w:tcPr>
          <w:p>
            <w:r>
              <w:t>Net Worth</w:t>
            </w:r>
          </w:p>
        </w:tc>
        <w:tc>
          <w:tcPr>
            <w:tcW w:type="dxa" w:w="4320"/>
          </w:tcPr>
          <w:p>
            <w:r>
              <w:t>93,018.00</w:t>
            </w:r>
          </w:p>
        </w:tc>
      </w:tr>
    </w:tbl>
    <w:p>
      <w:pPr>
        <w:pStyle w:val="Heading1"/>
      </w:pPr>
      <w:r>
        <w:t>4. Five C's Assessment</w:t>
      </w:r>
    </w:p>
    <w:p>
      <w:pPr>
        <w:pStyle w:val="ListBullet"/>
      </w:pPr>
      <w:r>
        <w:t>Character: 8.0/10 – Clean public record detected.</w:t>
      </w:r>
    </w:p>
    <w:p>
      <w:pPr>
        <w:pStyle w:val="ListBullet"/>
      </w:pPr>
      <w:r>
        <w:t>Capacity: 8.5/10 – Profit margin 69.6%, DSCR 1.23x, Interest Coverage 2803.76x.</w:t>
      </w:r>
    </w:p>
    <w:p>
      <w:pPr>
        <w:pStyle w:val="ListBullet"/>
      </w:pPr>
      <w:r>
        <w:t>Capital: 5.5/10 – D/E ratio 5.15, ROA 35.6%.</w:t>
      </w:r>
    </w:p>
    <w:p>
      <w:pPr>
        <w:pStyle w:val="ListBullet"/>
      </w:pPr>
      <w:r>
        <w:t>Collateral: 10/10 – Current ratio 0.0x, estimated asset coverage vs loan.</w:t>
      </w:r>
    </w:p>
    <w:p>
      <w:pPr>
        <w:pStyle w:val="ListBullet"/>
      </w:pPr>
      <w:r>
        <w:t>Conditions: 6.3/10 – No sector-level signals retrieved.</w:t>
      </w:r>
    </w:p>
    <w:p>
      <w:pPr>
        <w:pStyle w:val="Heading1"/>
      </w:pPr>
      <w:r>
        <w:t>5. Key Decision Drivers (XAI)</w:t>
      </w:r>
    </w:p>
    <w:p>
      <w:pPr>
        <w:pStyle w:val="ListBullet"/>
      </w:pPr>
      <w:r>
        <w:t>▲ Strong profit margin (69.6%) → pricing power ↓ Risk</w:t>
      </w:r>
    </w:p>
    <w:p>
      <w:pPr>
        <w:pStyle w:val="ListBullet"/>
      </w:pPr>
      <w:r>
        <w:t>▲ Strong interest coverage (2803.76x) → servicing capacity assured ↓ Risk</w:t>
      </w:r>
    </w:p>
    <w:p>
      <w:pPr>
        <w:pStyle w:val="ListBullet"/>
      </w:pPr>
      <w:r>
        <w:t>▲ ROA 35.6% → efficient asset utilisation ↓ Risk</w:t>
      </w:r>
    </w:p>
    <w:p>
      <w:pPr>
        <w:pStyle w:val="ListBullet"/>
      </w:pPr>
      <w:r>
        <w:t>▲ No major adverse OSINT flags → stable external risk profile ↓ Risk</w:t>
      </w:r>
    </w:p>
    <w:p>
      <w:pPr>
        <w:pStyle w:val="ListBullet"/>
      </w:pPr>
      <w:r>
        <w:t>▼ High Debt-to-Equity ratio (5.15x) → elevated leverage ↑ Risk</w:t>
      </w:r>
    </w:p>
    <w:p>
      <w:pPr>
        <w:pStyle w:val="ListBullet"/>
      </w:pPr>
      <w:r>
        <w:t>▼ Low cash-flow debt coverage (0.18x) → liquidity concern ↑ Risk</w:t>
      </w:r>
    </w:p>
    <w:p>
      <w:pPr>
        <w:pStyle w:val="Heading1"/>
      </w:pPr>
      <w:r>
        <w:t>6. SWOT Analysis</w:t>
      </w:r>
    </w:p>
    <w:p>
      <w:pPr>
        <w:pStyle w:val="Heading2"/>
      </w:pPr>
      <w:r>
        <w:t>Strengths</w:t>
      </w:r>
    </w:p>
    <w:p>
      <w:pPr>
        <w:pStyle w:val="ListBullet"/>
      </w:pPr>
      <w:r>
        <w:t>Established market presence and brand recognition.</w:t>
      </w:r>
    </w:p>
    <w:p>
      <w:pPr>
        <w:pStyle w:val="ListBullet"/>
      </w:pPr>
      <w:r>
        <w:t>Positive operating cash flows in recent periods.</w:t>
      </w:r>
    </w:p>
    <w:p>
      <w:pPr>
        <w:pStyle w:val="ListBullet"/>
      </w:pPr>
      <w:r>
        <w:t>Diversified revenue streams.</w:t>
      </w:r>
    </w:p>
    <w:p>
      <w:pPr>
        <w:pStyle w:val="Heading2"/>
      </w:pPr>
      <w:r>
        <w:t>Weaknesses</w:t>
      </w:r>
    </w:p>
    <w:p>
      <w:pPr>
        <w:pStyle w:val="ListBullet"/>
      </w:pPr>
      <w:r>
        <w:t>Elevated debt-equity ratio relative to sector peers.</w:t>
      </w:r>
    </w:p>
    <w:p>
      <w:pPr>
        <w:pStyle w:val="ListBullet"/>
      </w:pPr>
      <w:r>
        <w:t>Narrow profit margins reducing downside cushion.</w:t>
      </w:r>
    </w:p>
    <w:p>
      <w:pPr>
        <w:pStyle w:val="ListBullet"/>
      </w:pPr>
      <w:r>
        <w:t>Concentration risk in key customer segments.</w:t>
      </w:r>
    </w:p>
    <w:p>
      <w:pPr>
        <w:pStyle w:val="Heading2"/>
      </w:pPr>
      <w:r>
        <w:t>Opportunities</w:t>
      </w:r>
    </w:p>
    <w:p>
      <w:pPr>
        <w:pStyle w:val="ListBullet"/>
      </w:pPr>
      <w:r>
        <w:t>Potential for operational leverage as revenues scale.</w:t>
      </w:r>
    </w:p>
    <w:p>
      <w:pPr>
        <w:pStyle w:val="ListBullet"/>
      </w:pPr>
      <w:r>
        <w:t>Debt restructuring could reduce interest burden.</w:t>
      </w:r>
    </w:p>
    <w:p>
      <w:pPr>
        <w:pStyle w:val="ListBullet"/>
      </w:pPr>
      <w:r>
        <w:t>Sector tailwinds from infrastructure spending.</w:t>
      </w:r>
    </w:p>
    <w:p>
      <w:pPr>
        <w:pStyle w:val="Heading2"/>
      </w:pPr>
      <w:r>
        <w:t>Threats</w:t>
      </w:r>
    </w:p>
    <w:p>
      <w:pPr>
        <w:pStyle w:val="ListBullet"/>
      </w:pPr>
      <w:r>
        <w:t>Macroeconomic volatility affecting credit availability.</w:t>
      </w:r>
    </w:p>
    <w:p>
      <w:pPr>
        <w:pStyle w:val="ListBullet"/>
      </w:pPr>
      <w:r>
        <w:t>Rising input costs compressing margins.</w:t>
      </w:r>
    </w:p>
    <w:p>
      <w:pPr>
        <w:pStyle w:val="ListBullet"/>
      </w:pPr>
      <w:r>
        <w:t>Regulatory changes in core sector.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