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Tata Steel</w:t>
      </w:r>
    </w:p>
    <w:p>
      <w:pPr>
        <w:pStyle w:val="Heading1"/>
      </w:pPr>
      <w:r>
        <w:t>1. Executive Summary</w:t>
      </w:r>
    </w:p>
    <w:p>
      <w:r>
        <w:t>Decision: Approve</w:t>
      </w:r>
    </w:p>
    <w:p>
      <w:r>
        <w:t>Risk Rating: A+ (Very Low Risk)</w:t>
      </w:r>
    </w:p>
    <w:p>
      <w:r>
        <w:t>Probability of Default: 2.50%</w:t>
      </w:r>
    </w:p>
    <w:p>
      <w:pPr>
        <w:pStyle w:val="Heading1"/>
      </w:pPr>
      <w:r>
        <w:t>2. Analyst Narrative</w:t>
      </w:r>
    </w:p>
    <w:p>
      <w:r>
        <w:t>Tata Steel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150.50</w:t>
            </w:r>
          </w:p>
        </w:tc>
      </w:tr>
      <w:tr>
        <w:tc>
          <w:tcPr>
            <w:tcW w:type="dxa" w:w="4320"/>
          </w:tcPr>
          <w:p>
            <w:r>
              <w:t>Net Profit</w:t>
            </w:r>
          </w:p>
        </w:tc>
        <w:tc>
          <w:tcPr>
            <w:tcW w:type="dxa" w:w="4320"/>
          </w:tcPr>
          <w:p>
            <w:r>
              <w:t>22.00</w:t>
            </w:r>
          </w:p>
        </w:tc>
      </w:tr>
      <w:tr>
        <w:tc>
          <w:tcPr>
            <w:tcW w:type="dxa" w:w="4320"/>
          </w:tcPr>
          <w:p>
            <w:r>
              <w:t>Total Debt</w:t>
            </w:r>
          </w:p>
        </w:tc>
        <w:tc>
          <w:tcPr>
            <w:tcW w:type="dxa" w:w="4320"/>
          </w:tcPr>
          <w:p>
            <w:r>
              <w:t>45.00</w:t>
            </w:r>
          </w:p>
        </w:tc>
      </w:tr>
      <w:tr>
        <w:tc>
          <w:tcPr>
            <w:tcW w:type="dxa" w:w="4320"/>
          </w:tcPr>
          <w:p>
            <w:r>
              <w:t>Total Assets</w:t>
            </w:r>
          </w:p>
        </w:tc>
        <w:tc>
          <w:tcPr>
            <w:tcW w:type="dxa" w:w="4320"/>
          </w:tcPr>
          <w:p>
            <w:r>
              <w:t>210.00</w:t>
            </w:r>
          </w:p>
        </w:tc>
      </w:tr>
      <w:tr>
        <w:tc>
          <w:tcPr>
            <w:tcW w:type="dxa" w:w="4320"/>
          </w:tcPr>
          <w:p>
            <w:r>
              <w:t>Operating Cash Flow</w:t>
            </w:r>
          </w:p>
        </w:tc>
        <w:tc>
          <w:tcPr>
            <w:tcW w:type="dxa" w:w="4320"/>
          </w:tcPr>
          <w:p>
            <w:r>
              <w:t>15.00</w:t>
            </w:r>
          </w:p>
        </w:tc>
      </w:tr>
      <w:tr>
        <w:tc>
          <w:tcPr>
            <w:tcW w:type="dxa" w:w="4320"/>
          </w:tcPr>
          <w:p>
            <w:r>
              <w:t>Current Assets</w:t>
            </w:r>
          </w:p>
        </w:tc>
        <w:tc>
          <w:tcPr>
            <w:tcW w:type="dxa" w:w="4320"/>
          </w:tcPr>
          <w:p>
            <w:r>
              <w:t>80.00</w:t>
            </w:r>
          </w:p>
        </w:tc>
      </w:tr>
      <w:tr>
        <w:tc>
          <w:tcPr>
            <w:tcW w:type="dxa" w:w="4320"/>
          </w:tcPr>
          <w:p>
            <w:r>
              <w:t>Current Liabilities</w:t>
            </w:r>
          </w:p>
        </w:tc>
        <w:tc>
          <w:tcPr>
            <w:tcW w:type="dxa" w:w="4320"/>
          </w:tcPr>
          <w:p>
            <w:r>
              <w:t>50.00</w:t>
            </w:r>
          </w:p>
        </w:tc>
      </w:tr>
      <w:tr>
        <w:tc>
          <w:tcPr>
            <w:tcW w:type="dxa" w:w="4320"/>
          </w:tcPr>
          <w:p>
            <w:r>
              <w:t>Interest Expense</w:t>
            </w:r>
          </w:p>
        </w:tc>
        <w:tc>
          <w:tcPr>
            <w:tcW w:type="dxa" w:w="4320"/>
          </w:tcPr>
          <w:p>
            <w:r>
              <w:t>5.50</w:t>
            </w:r>
          </w:p>
        </w:tc>
      </w:tr>
      <w:tr>
        <w:tc>
          <w:tcPr>
            <w:tcW w:type="dxa" w:w="4320"/>
          </w:tcPr>
          <w:p>
            <w:r>
              <w:t>EBIT</w:t>
            </w:r>
          </w:p>
        </w:tc>
        <w:tc>
          <w:tcPr>
            <w:tcW w:type="dxa" w:w="4320"/>
          </w:tcPr>
          <w:p>
            <w:r>
              <w:t>30.00</w:t>
            </w:r>
          </w:p>
        </w:tc>
      </w:tr>
      <w:tr>
        <w:tc>
          <w:tcPr>
            <w:tcW w:type="dxa" w:w="4320"/>
          </w:tcPr>
          <w:p>
            <w:r>
              <w:t>EBITDA</w:t>
            </w:r>
          </w:p>
        </w:tc>
        <w:tc>
          <w:tcPr>
            <w:tcW w:type="dxa" w:w="4320"/>
          </w:tcPr>
          <w:p>
            <w:r>
              <w:t>38.00</w:t>
            </w:r>
          </w:p>
        </w:tc>
      </w:tr>
      <w:tr>
        <w:tc>
          <w:tcPr>
            <w:tcW w:type="dxa" w:w="4320"/>
          </w:tcPr>
          <w:p>
            <w:r>
              <w:t>Net Worth</w:t>
            </w:r>
          </w:p>
        </w:tc>
        <w:tc>
          <w:tcPr>
            <w:tcW w:type="dxa" w:w="4320"/>
          </w:tcPr>
          <w:p>
            <w:r>
              <w:t>120.00</w:t>
            </w:r>
          </w:p>
        </w:tc>
      </w:tr>
    </w:tbl>
    <w:p>
      <w:pPr>
        <w:pStyle w:val="Heading1"/>
      </w:pPr>
      <w:r>
        <w:t>4. Five C's Assessment</w:t>
      </w:r>
    </w:p>
    <w:p>
      <w:pPr>
        <w:pStyle w:val="ListBullet"/>
      </w:pPr>
      <w:r>
        <w:t>Character: 8.0/10 – Clean public record detected.</w:t>
      </w:r>
    </w:p>
    <w:p>
      <w:pPr>
        <w:pStyle w:val="ListBullet"/>
      </w:pPr>
      <w:r>
        <w:t>Capacity: 9.2/10 – Profit margin 14.6%, DSCR 2.22x, Interest Coverage 5.45x.</w:t>
      </w:r>
    </w:p>
    <w:p>
      <w:pPr>
        <w:pStyle w:val="ListBullet"/>
      </w:pPr>
      <w:r>
        <w:t>Capital: 8.5/10 – D/E ratio 0.38, ROA 10.5%.</w:t>
      </w:r>
    </w:p>
    <w:p>
      <w:pPr>
        <w:pStyle w:val="ListBullet"/>
      </w:pPr>
      <w:r>
        <w:t>Collateral: 10/10 – Current ratio 1.6x, estimated asset coverage vs loan.</w:t>
      </w:r>
    </w:p>
    <w:p>
      <w:pPr>
        <w:pStyle w:val="ListBullet"/>
      </w:pPr>
      <w:r>
        <w:t>Conditions: 6.3/10 – No sector-level signals retrieved.</w:t>
      </w:r>
    </w:p>
    <w:p>
      <w:pPr>
        <w:pStyle w:val="Heading1"/>
      </w:pPr>
      <w:r>
        <w:t>5. Key Decision Drivers (XAI)</w:t>
      </w:r>
    </w:p>
    <w:p>
      <w:pPr>
        <w:pStyle w:val="ListBullet"/>
      </w:pPr>
      <w:r>
        <w:t>▲ Low Debt-to-Equity ratio (0.38x) → strong capital structure ↓ Risk</w:t>
      </w:r>
    </w:p>
    <w:p>
      <w:pPr>
        <w:pStyle w:val="ListBullet"/>
      </w:pPr>
      <w:r>
        <w:t>▲ Strong profit margin (14.6%) → pricing power ↓ Risk</w:t>
      </w:r>
    </w:p>
    <w:p>
      <w:pPr>
        <w:pStyle w:val="ListBullet"/>
      </w:pPr>
      <w:r>
        <w:t>▲ Healthy cash-flow debt coverage (0.33x) → liquidity assured ↓ Risk</w:t>
      </w:r>
    </w:p>
    <w:p>
      <w:pPr>
        <w:pStyle w:val="ListBullet"/>
      </w:pPr>
      <w:r>
        <w:t>▲ Strong interest coverage (5.45x) → servicing capacity assured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