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Credit Appraisal Memo – reliance industry </w:t>
      </w:r>
    </w:p>
    <w:p>
      <w:pPr>
        <w:pStyle w:val="Heading1"/>
      </w:pPr>
      <w:r>
        <w:t>1. Executive Summary</w:t>
      </w:r>
    </w:p>
    <w:p>
      <w:r>
        <w:t>Decision: Approve with Conditions</w:t>
      </w:r>
    </w:p>
    <w:p>
      <w:r>
        <w:t>Risk Rating: B+ (Moderate Risk)</w:t>
      </w:r>
    </w:p>
    <w:p>
      <w:r>
        <w:t>Probability of Default: 44.00%</w:t>
      </w:r>
    </w:p>
    <w:p>
      <w:pPr>
        <w:pStyle w:val="Heading1"/>
      </w:pPr>
      <w:r>
        <w:t>2. Analyst Narrative</w:t>
      </w:r>
    </w:p>
    <w:p>
      <w:r>
        <w:t>reliance industry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116,773.00</w:t>
            </w:r>
          </w:p>
        </w:tc>
      </w:tr>
      <w:tr>
        <w:tc>
          <w:tcPr>
            <w:tcW w:type="dxa" w:w="4320"/>
          </w:tcPr>
          <w:p>
            <w:r>
              <w:t>Net Profit</w:t>
            </w:r>
          </w:p>
        </w:tc>
        <w:tc>
          <w:tcPr>
            <w:tcW w:type="dxa" w:w="4320"/>
          </w:tcPr>
          <w:p>
            <w:r>
              <w:t>81,309.00</w:t>
            </w:r>
          </w:p>
        </w:tc>
      </w:tr>
      <w:tr>
        <w:tc>
          <w:tcPr>
            <w:tcW w:type="dxa" w:w="4320"/>
          </w:tcPr>
          <w:p>
            <w:r>
              <w:t>Total Debt</w:t>
            </w:r>
          </w:p>
        </w:tc>
        <w:tc>
          <w:tcPr>
            <w:tcW w:type="dxa" w:w="4320"/>
          </w:tcPr>
          <w:p>
            <w:r>
              <w:t>479,314.00</w:t>
            </w:r>
          </w:p>
        </w:tc>
      </w:tr>
      <w:tr>
        <w:tc>
          <w:tcPr>
            <w:tcW w:type="dxa" w:w="4320"/>
          </w:tcPr>
          <w:p>
            <w:r>
              <w:t>Total Assets</w:t>
            </w:r>
          </w:p>
        </w:tc>
        <w:tc>
          <w:tcPr>
            <w:tcW w:type="dxa" w:w="4320"/>
          </w:tcPr>
          <w:p>
            <w:r>
              <w:t>228,151.00</w:t>
            </w:r>
          </w:p>
        </w:tc>
      </w:tr>
      <w:tr>
        <w:tc>
          <w:tcPr>
            <w:tcW w:type="dxa" w:w="4320"/>
          </w:tcPr>
          <w:p>
            <w:r>
              <w:t>Operating Cash Flow</w:t>
            </w:r>
          </w:p>
        </w:tc>
        <w:tc>
          <w:tcPr>
            <w:tcW w:type="dxa" w:w="4320"/>
          </w:tcPr>
          <w:p>
            <w:r>
              <w:t>88,553.00</w:t>
            </w:r>
          </w:p>
        </w:tc>
      </w:tr>
      <w:tr>
        <w:tc>
          <w:tcPr>
            <w:tcW w:type="dxa" w:w="4320"/>
          </w:tcPr>
          <w:p>
            <w:r>
              <w:t>Current Assets</w:t>
            </w:r>
          </w:p>
        </w:tc>
        <w:tc>
          <w:tcPr>
            <w:tcW w:type="dxa" w:w="4320"/>
          </w:tcPr>
          <w:p>
            <w:r>
              <w:t>0.00</w:t>
            </w:r>
          </w:p>
        </w:tc>
      </w:tr>
      <w:tr>
        <w:tc>
          <w:tcPr>
            <w:tcW w:type="dxa" w:w="4320"/>
          </w:tcPr>
          <w:p>
            <w:r>
              <w:t>Current Liabilities</w:t>
            </w:r>
          </w:p>
        </w:tc>
        <w:tc>
          <w:tcPr>
            <w:tcW w:type="dxa" w:w="4320"/>
          </w:tcPr>
          <w:p>
            <w:r>
              <w:t>19.00</w:t>
            </w:r>
          </w:p>
        </w:tc>
      </w:tr>
      <w:tr>
        <w:tc>
          <w:tcPr>
            <w:tcW w:type="dxa" w:w="4320"/>
          </w:tcPr>
          <w:p>
            <w:r>
              <w:t>Interest Expense</w:t>
            </w:r>
          </w:p>
        </w:tc>
        <w:tc>
          <w:tcPr>
            <w:tcW w:type="dxa" w:w="4320"/>
          </w:tcPr>
          <w:p>
            <w:r>
              <w:t>29.00</w:t>
            </w:r>
          </w:p>
        </w:tc>
      </w:tr>
      <w:tr>
        <w:tc>
          <w:tcPr>
            <w:tcW w:type="dxa" w:w="4320"/>
          </w:tcPr>
          <w:p>
            <w:r>
              <w:t>EBIT</w:t>
            </w:r>
          </w:p>
        </w:tc>
        <w:tc>
          <w:tcPr>
            <w:tcW w:type="dxa" w:w="4320"/>
          </w:tcPr>
          <w:p>
            <w:r>
              <w:t>0.00</w:t>
            </w:r>
          </w:p>
        </w:tc>
      </w:tr>
      <w:tr>
        <w:tc>
          <w:tcPr>
            <w:tcW w:type="dxa" w:w="4320"/>
          </w:tcPr>
          <w:p>
            <w:r>
              <w:t>EBITDA</w:t>
            </w:r>
          </w:p>
        </w:tc>
        <w:tc>
          <w:tcPr>
            <w:tcW w:type="dxa" w:w="4320"/>
          </w:tcPr>
          <w:p>
            <w:r>
              <w:t>2,191.00</w:t>
            </w:r>
          </w:p>
        </w:tc>
      </w:tr>
      <w:tr>
        <w:tc>
          <w:tcPr>
            <w:tcW w:type="dxa" w:w="4320"/>
          </w:tcPr>
          <w:p>
            <w:r>
              <w:t>Net Worth</w:t>
            </w:r>
          </w:p>
        </w:tc>
        <w:tc>
          <w:tcPr>
            <w:tcW w:type="dxa" w:w="4320"/>
          </w:tcPr>
          <w:p>
            <w:r>
              <w:t>93,018.00</w:t>
            </w:r>
          </w:p>
        </w:tc>
      </w:tr>
    </w:tbl>
    <w:p>
      <w:pPr>
        <w:pStyle w:val="Heading1"/>
      </w:pPr>
      <w:r>
        <w:t>4. Five C's Assessment</w:t>
      </w:r>
    </w:p>
    <w:p>
      <w:pPr>
        <w:pStyle w:val="ListBullet"/>
      </w:pPr>
      <w:r>
        <w:t>Character: 8.0/10 – Clean public record detected.</w:t>
      </w:r>
    </w:p>
    <w:p>
      <w:pPr>
        <w:pStyle w:val="ListBullet"/>
      </w:pPr>
      <w:r>
        <w:t>Capacity: 8.5/10 – Profit margin 69.6%, DSCR 1.23x, Interest Coverage 2803.76x.</w:t>
      </w:r>
    </w:p>
    <w:p>
      <w:pPr>
        <w:pStyle w:val="ListBullet"/>
      </w:pPr>
      <w:r>
        <w:t>Capital: 5.5/10 – D/E ratio 5.15, ROA 35.6%.</w:t>
      </w:r>
    </w:p>
    <w:p>
      <w:pPr>
        <w:pStyle w:val="ListBullet"/>
      </w:pPr>
      <w:r>
        <w:t>Collateral: 10/10 – Current ratio 0.0x, estimated asset coverage vs loan.</w:t>
      </w:r>
    </w:p>
    <w:p>
      <w:pPr>
        <w:pStyle w:val="ListBullet"/>
      </w:pPr>
      <w:r>
        <w:t>Conditions: 6.0/10 – KONGRESSFORMAT | Retail Forum: The Retail Marketplace Conference Das Retail Forum Switzerland ist die branchenübergreife</w:t>
      </w:r>
    </w:p>
    <w:p>
      <w:pPr>
        <w:pStyle w:val="Heading1"/>
      </w:pPr>
      <w:r>
        <w:t>5. Key Decision Drivers (XAI)</w:t>
      </w:r>
    </w:p>
    <w:p>
      <w:pPr>
        <w:pStyle w:val="ListBullet"/>
      </w:pPr>
      <w:r>
        <w:t>▲ Strong profit margin (69.6%) → pricing power ↓ Risk</w:t>
      </w:r>
    </w:p>
    <w:p>
      <w:pPr>
        <w:pStyle w:val="ListBullet"/>
      </w:pPr>
      <w:r>
        <w:t>▲ Strong interest coverage (2803.76x) → servicing capacity assured ↓ Risk</w:t>
      </w:r>
    </w:p>
    <w:p>
      <w:pPr>
        <w:pStyle w:val="ListBullet"/>
      </w:pPr>
      <w:r>
        <w:t>▲ ROA 35.6% → efficient asset utilisation ↓ Risk</w:t>
      </w:r>
    </w:p>
    <w:p>
      <w:pPr>
        <w:pStyle w:val="ListBullet"/>
      </w:pPr>
      <w:r>
        <w:t>▲ No major adverse OSINT flags → stable external risk profile ↓ Risk</w:t>
      </w:r>
    </w:p>
    <w:p>
      <w:pPr>
        <w:pStyle w:val="ListBullet"/>
      </w:pPr>
      <w:r>
        <w:t>▼ High Debt-to-Equity ratio (5.15x) → elevated leverage ↑ Risk</w:t>
      </w:r>
    </w:p>
    <w:p>
      <w:pPr>
        <w:pStyle w:val="ListBullet"/>
      </w:pPr>
      <w:r>
        <w:t>▼ Low cash-flow debt coverage (0.18x) → liquidity concern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