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Appraisal Memo (CAM) - tata</w:t>
      </w:r>
    </w:p>
    <w:p>
      <w:pPr>
        <w:pStyle w:val="Heading1"/>
      </w:pPr>
      <w:r>
        <w:t>1. Executive Summary &amp; Recommendation</w:t>
      </w:r>
    </w:p>
    <w:p>
      <w:r>
        <w:t>Recommendation: Approve</w:t>
      </w:r>
    </w:p>
    <w:p>
      <w:r>
        <w:t>Risk Category: Low Risk (A Rating)</w:t>
      </w:r>
    </w:p>
    <w:p>
      <w:r>
        <w:t>Probability of Default Estimated: 2.00%</w:t>
      </w:r>
    </w:p>
    <w:p>
      <w:pPr>
        <w:pStyle w:val="Heading1"/>
      </w:pPr>
      <w:r>
        <w:t>2. Financial Overview (INR Crores)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150.50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22.00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45.00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210.00</w:t>
            </w:r>
          </w:p>
        </w:tc>
      </w:tr>
      <w:tr>
        <w:tc>
          <w:tcPr>
            <w:tcW w:type="dxa" w:w="4320"/>
          </w:tcPr>
          <w:p>
            <w:r>
              <w:t>Operating Cash Flow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</w:tbl>
    <w:p>
      <w:pPr>
        <w:pStyle w:val="Heading1"/>
      </w:pPr>
      <w:r>
        <w:t>3. Primary Risk Drivers (Explainable AI)</w:t>
      </w:r>
    </w:p>
    <w:p>
      <w:pPr>
        <w:pStyle w:val="ListBullet"/>
      </w:pPr>
      <w:r>
        <w:t>Healthy Debt-Equity Ratio (0.21) indicates strong financial positioning.</w:t>
      </w:r>
    </w:p>
    <w:p>
      <w:pPr>
        <w:pStyle w:val="Heading1"/>
      </w:pPr>
      <w:r>
        <w:t>4. SWOT Analysis (GenAI Assisted)</w:t>
      </w:r>
    </w:p>
    <w:p>
      <w:pPr>
        <w:pStyle w:val="Heading2"/>
      </w:pPr>
      <w:r>
        <w:t>Strengths</w:t>
      </w:r>
    </w:p>
    <w:p>
      <w:pPr>
        <w:pStyle w:val="ListBullet"/>
      </w:pPr>
      <w:r>
        <w:t>Established market presence.</w:t>
      </w:r>
    </w:p>
    <w:p>
      <w:pPr>
        <w:pStyle w:val="ListBullet"/>
      </w:pPr>
      <w:r>
        <w:t>Positive operating cash flows in recent quarters.</w:t>
      </w:r>
    </w:p>
    <w:p>
      <w:pPr>
        <w:pStyle w:val="Heading2"/>
      </w:pPr>
      <w:r>
        <w:t>Weaknesses</w:t>
      </w:r>
    </w:p>
    <w:p>
      <w:pPr>
        <w:pStyle w:val="ListBullet"/>
      </w:pPr>
      <w:r>
        <w:t>High debt-to-equity ratio.</w:t>
      </w:r>
    </w:p>
    <w:p>
      <w:pPr>
        <w:pStyle w:val="ListBullet"/>
      </w:pPr>
      <w:r>
        <w:t>Narrow profit margins compared to industry average.</w:t>
      </w:r>
    </w:p>
    <w:p>
      <w:pPr>
        <w:pStyle w:val="Heading2"/>
      </w:pPr>
      <w:r>
        <w:t>Opportunities</w:t>
      </w:r>
    </w:p>
    <w:p>
      <w:pPr>
        <w:pStyle w:val="ListBullet"/>
      </w:pPr>
      <w:r>
        <w:t>Potential for debt restructuring.</w:t>
      </w:r>
    </w:p>
    <w:p>
      <w:pPr>
        <w:pStyle w:val="ListBullet"/>
      </w:pPr>
      <w:r>
        <w:t>Expansion into adjacent markets.</w:t>
      </w:r>
    </w:p>
    <w:p>
      <w:pPr>
        <w:pStyle w:val="Heading2"/>
      </w:pPr>
      <w:r>
        <w:t>Threats</w:t>
      </w:r>
    </w:p>
    <w:p>
      <w:pPr>
        <w:pStyle w:val="ListBullet"/>
      </w:pPr>
      <w:r>
        <w:t>Negative market sentiment detected in recent news.</w:t>
      </w:r>
    </w:p>
    <w:p>
      <w:pPr>
        <w:pStyle w:val="ListBullet"/>
      </w:pPr>
      <w:r>
        <w:t>Macroeconomic volatility.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