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Credit Appraisal Memo – srgewrsdrv</w:t>
      </w:r>
    </w:p>
    <w:p>
      <w:pPr>
        <w:pStyle w:val="Heading1"/>
      </w:pPr>
      <w:r>
        <w:t>1. Executive Summary</w:t>
      </w:r>
    </w:p>
    <w:p>
      <w:r>
        <w:t>Decision: Approve</w:t>
      </w:r>
    </w:p>
    <w:p>
      <w:r>
        <w:t>Risk Rating: A (Low Risk)</w:t>
      </w:r>
    </w:p>
    <w:p>
      <w:r>
        <w:t>Probability of Default: 35.00%</w:t>
      </w:r>
    </w:p>
    <w:p>
      <w:pPr>
        <w:pStyle w:val="Heading1"/>
      </w:pPr>
      <w:r>
        <w:t>2. Analyst Narrative</w:t>
      </w:r>
    </w:p>
    <w:p>
      <w:r>
        <w:t>srgewrsdrv demonstrates a financial profile broadly aligned with the requested credit facility. Operating cash flows provide reasonable debt service coverage, and the balance sheet position supports repayment over the proposed tenure. Key financial metrics have been reviewed against sector benchmarks.</w:t>
      </w:r>
    </w:p>
    <w:p>
      <w:r>
        <w:t>Secondary research indicates manageable external risk levels. The recommendation is consistent with the quantitative risk model output. Monitoring covenants are advised as standard practice for the assigned risk grade.</w:t>
      </w:r>
    </w:p>
    <w:p>
      <w:pPr>
        <w:pStyle w:val="Heading1"/>
      </w:pPr>
      <w:r>
        <w:t>3. Financial Overview (INR Crores)</w:t>
      </w:r>
    </w:p>
    <w:tbl>
      <w:tblPr>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Revenue</w:t>
            </w:r>
          </w:p>
        </w:tc>
        <w:tc>
          <w:tcPr>
            <w:tcW w:type="dxa" w:w="4320"/>
          </w:tcPr>
          <w:p>
            <w:r>
              <w:t>116,773.00</w:t>
            </w:r>
          </w:p>
        </w:tc>
      </w:tr>
      <w:tr>
        <w:tc>
          <w:tcPr>
            <w:tcW w:type="dxa" w:w="4320"/>
          </w:tcPr>
          <w:p>
            <w:r>
              <w:t>Net Profit</w:t>
            </w:r>
          </w:p>
        </w:tc>
        <w:tc>
          <w:tcPr>
            <w:tcW w:type="dxa" w:w="4320"/>
          </w:tcPr>
          <w:p>
            <w:r>
              <w:t>0.00</w:t>
            </w:r>
          </w:p>
        </w:tc>
      </w:tr>
      <w:tr>
        <w:tc>
          <w:tcPr>
            <w:tcW w:type="dxa" w:w="4320"/>
          </w:tcPr>
          <w:p>
            <w:r>
              <w:t>Total Debt</w:t>
            </w:r>
          </w:p>
        </w:tc>
        <w:tc>
          <w:tcPr>
            <w:tcW w:type="dxa" w:w="4320"/>
          </w:tcPr>
          <w:p>
            <w:r>
              <w:t>3.00</w:t>
            </w:r>
          </w:p>
        </w:tc>
      </w:tr>
      <w:tr>
        <w:tc>
          <w:tcPr>
            <w:tcW w:type="dxa" w:w="4320"/>
          </w:tcPr>
          <w:p>
            <w:r>
              <w:t>Total Assets</w:t>
            </w:r>
          </w:p>
        </w:tc>
        <w:tc>
          <w:tcPr>
            <w:tcW w:type="dxa" w:w="4320"/>
          </w:tcPr>
          <w:p>
            <w:r>
              <w:t>228,151.00</w:t>
            </w:r>
          </w:p>
        </w:tc>
      </w:tr>
      <w:tr>
        <w:tc>
          <w:tcPr>
            <w:tcW w:type="dxa" w:w="4320"/>
          </w:tcPr>
          <w:p>
            <w:r>
              <w:t>Operating Cash Flow</w:t>
            </w:r>
          </w:p>
        </w:tc>
        <w:tc>
          <w:tcPr>
            <w:tcW w:type="dxa" w:w="4320"/>
          </w:tcPr>
          <w:p>
            <w:r>
              <w:t>79,392.00</w:t>
            </w:r>
          </w:p>
        </w:tc>
      </w:tr>
      <w:tr>
        <w:tc>
          <w:tcPr>
            <w:tcW w:type="dxa" w:w="4320"/>
          </w:tcPr>
          <w:p>
            <w:r>
              <w:t>Current Assets</w:t>
            </w:r>
          </w:p>
        </w:tc>
        <w:tc>
          <w:tcPr>
            <w:tcW w:type="dxa" w:w="4320"/>
          </w:tcPr>
          <w:p>
            <w:r>
              <w:t>5.00</w:t>
            </w:r>
          </w:p>
        </w:tc>
      </w:tr>
      <w:tr>
        <w:tc>
          <w:tcPr>
            <w:tcW w:type="dxa" w:w="4320"/>
          </w:tcPr>
          <w:p>
            <w:r>
              <w:t>Current Liabilities</w:t>
            </w:r>
          </w:p>
        </w:tc>
        <w:tc>
          <w:tcPr>
            <w:tcW w:type="dxa" w:w="4320"/>
          </w:tcPr>
          <w:p>
            <w:r>
              <w:t>19.00</w:t>
            </w:r>
          </w:p>
        </w:tc>
      </w:tr>
      <w:tr>
        <w:tc>
          <w:tcPr>
            <w:tcW w:type="dxa" w:w="4320"/>
          </w:tcPr>
          <w:p>
            <w:r>
              <w:t>Interest Expense</w:t>
            </w:r>
          </w:p>
        </w:tc>
        <w:tc>
          <w:tcPr>
            <w:tcW w:type="dxa" w:w="4320"/>
          </w:tcPr>
          <w:p>
            <w:r>
              <w:t>29.00</w:t>
            </w:r>
          </w:p>
        </w:tc>
      </w:tr>
      <w:tr>
        <w:tc>
          <w:tcPr>
            <w:tcW w:type="dxa" w:w="4320"/>
          </w:tcPr>
          <w:p>
            <w:r>
              <w:t>EBIT</w:t>
            </w:r>
          </w:p>
        </w:tc>
        <w:tc>
          <w:tcPr>
            <w:tcW w:type="dxa" w:w="4320"/>
          </w:tcPr>
          <w:p>
            <w:r>
              <w:t>2,718.00</w:t>
            </w:r>
          </w:p>
        </w:tc>
      </w:tr>
      <w:tr>
        <w:tc>
          <w:tcPr>
            <w:tcW w:type="dxa" w:w="4320"/>
          </w:tcPr>
          <w:p>
            <w:r>
              <w:t>EBITDA</w:t>
            </w:r>
          </w:p>
        </w:tc>
        <w:tc>
          <w:tcPr>
            <w:tcW w:type="dxa" w:w="4320"/>
          </w:tcPr>
          <w:p>
            <w:r>
              <w:t>2,191.00</w:t>
            </w:r>
          </w:p>
        </w:tc>
      </w:tr>
      <w:tr>
        <w:tc>
          <w:tcPr>
            <w:tcW w:type="dxa" w:w="4320"/>
          </w:tcPr>
          <w:p>
            <w:r>
              <w:t>Net Worth</w:t>
            </w:r>
          </w:p>
        </w:tc>
        <w:tc>
          <w:tcPr>
            <w:tcW w:type="dxa" w:w="4320"/>
          </w:tcPr>
          <w:p>
            <w:r>
              <w:t>93,018.00</w:t>
            </w:r>
          </w:p>
        </w:tc>
      </w:tr>
      <w:tr>
        <w:tc>
          <w:tcPr>
            <w:tcW w:type="dxa" w:w="4320"/>
          </w:tcPr>
          <w:p>
            <w:r>
              <w:t>GST Turnover</w:t>
            </w:r>
          </w:p>
        </w:tc>
        <w:tc>
          <w:tcPr>
            <w:tcW w:type="dxa" w:w="4320"/>
          </w:tcPr>
          <w:p>
            <w:r>
              <w:t>0.00</w:t>
            </w:r>
          </w:p>
        </w:tc>
      </w:tr>
      <w:tr>
        <w:tc>
          <w:tcPr>
            <w:tcW w:type="dxa" w:w="4320"/>
          </w:tcPr>
          <w:p>
            <w:r>
              <w:t>Tax Paid (ITR)</w:t>
            </w:r>
          </w:p>
        </w:tc>
        <w:tc>
          <w:tcPr>
            <w:tcW w:type="dxa" w:w="4320"/>
          </w:tcPr>
          <w:p>
            <w:r>
              <w:t>0.00</w:t>
            </w:r>
          </w:p>
        </w:tc>
      </w:tr>
      <w:tr>
        <w:tc>
          <w:tcPr>
            <w:tcW w:type="dxa" w:w="4320"/>
          </w:tcPr>
          <w:p>
            <w:r>
              <w:t>Trade Receivables</w:t>
            </w:r>
          </w:p>
        </w:tc>
        <w:tc>
          <w:tcPr>
            <w:tcW w:type="dxa" w:w="4320"/>
          </w:tcPr>
          <w:p>
            <w:r>
              <w:t>0.00</w:t>
            </w:r>
          </w:p>
        </w:tc>
      </w:tr>
      <w:tr>
        <w:tc>
          <w:tcPr>
            <w:tcW w:type="dxa" w:w="4320"/>
          </w:tcPr>
          <w:p>
            <w:r>
              <w:t>Trade Payables</w:t>
            </w:r>
          </w:p>
        </w:tc>
        <w:tc>
          <w:tcPr>
            <w:tcW w:type="dxa" w:w="4320"/>
          </w:tcPr>
          <w:p>
            <w:r>
              <w:t>0.00</w:t>
            </w:r>
          </w:p>
        </w:tc>
      </w:tr>
      <w:tr>
        <w:tc>
          <w:tcPr>
            <w:tcW w:type="dxa" w:w="4320"/>
          </w:tcPr>
          <w:p>
            <w:r>
              <w:t>Promoter Shareholding %</w:t>
            </w:r>
          </w:p>
        </w:tc>
        <w:tc>
          <w:tcPr>
            <w:tcW w:type="dxa" w:w="4320"/>
          </w:tcPr>
          <w:p>
            <w:r>
              <w:t>0.00</w:t>
            </w:r>
          </w:p>
        </w:tc>
      </w:tr>
      <w:tr>
        <w:tc>
          <w:tcPr>
            <w:tcW w:type="dxa" w:w="4320"/>
          </w:tcPr>
          <w:p>
            <w:r>
              <w:t>CIBIL / CMR Score</w:t>
            </w:r>
          </w:p>
        </w:tc>
        <w:tc>
          <w:tcPr>
            <w:tcW w:type="dxa" w:w="4320"/>
          </w:tcPr>
          <w:p>
            <w:r>
              <w:t>0.00</w:t>
            </w:r>
          </w:p>
        </w:tc>
      </w:tr>
      <w:tr>
        <w:tc>
          <w:tcPr>
            <w:tcW w:type="dxa" w:w="4320"/>
          </w:tcPr>
          <w:p>
            <w:r>
              <w:t>Fixed Assets</w:t>
            </w:r>
          </w:p>
        </w:tc>
        <w:tc>
          <w:tcPr>
            <w:tcW w:type="dxa" w:w="4320"/>
          </w:tcPr>
          <w:p>
            <w:r>
              <w:t>0.00</w:t>
            </w:r>
          </w:p>
        </w:tc>
      </w:tr>
    </w:tbl>
    <w:p>
      <w:pPr>
        <w:pStyle w:val="Heading1"/>
      </w:pPr>
      <w:r>
        <w:t>4. Five C's Assessment</w:t>
      </w:r>
    </w:p>
    <w:p>
      <w:pPr>
        <w:pStyle w:val="ListBullet"/>
      </w:pPr>
      <w:r>
        <w:t>Character: 8.0/10 – Clean public record detected.</w:t>
      </w:r>
    </w:p>
    <w:p>
      <w:pPr>
        <w:pStyle w:val="ListBullet"/>
      </w:pPr>
      <w:r>
        <w:t>Capacity: 7.7/10 – Profit margin 0.0%, DSCR 176426.67x, Interest Coverage 93.72x.</w:t>
      </w:r>
    </w:p>
    <w:p>
      <w:pPr>
        <w:pStyle w:val="ListBullet"/>
      </w:pPr>
      <w:r>
        <w:t>Capital: 7.0/10 – D/E ratio 0.00, ROA 0.0%.</w:t>
      </w:r>
    </w:p>
    <w:p>
      <w:pPr>
        <w:pStyle w:val="ListBullet"/>
      </w:pPr>
      <w:r>
        <w:t>Collateral: 10/10 – Current ratio 0.26x, estimated asset coverage vs loan.</w:t>
      </w:r>
    </w:p>
    <w:p>
      <w:pPr>
        <w:pStyle w:val="ListBullet"/>
      </w:pPr>
      <w:r>
        <w:t>Conditions: 6.0/10 – office家庭和学生版2021是永久免费使用的嘛？ - 知乎: 了解一番： 说是 1 （2021-2月 的一个回答答案）现在已经不显示了，只显示包含的产品，如果没激活倒是会提示未激活。在使用 … | KONGRESSFORMAT | Re</w:t>
      </w:r>
    </w:p>
    <w:p>
      <w:pPr>
        <w:pStyle w:val="Heading1"/>
      </w:pPr>
      <w:r>
        <w:t>5. Key Decision Drivers (XAI)</w:t>
      </w:r>
    </w:p>
    <w:p>
      <w:pPr>
        <w:pStyle w:val="ListBullet"/>
      </w:pPr>
      <w:r>
        <w:t>▲ Low Debt-to-Equity ratio (0.00x) → strong capital structure ↓ Risk</w:t>
      </w:r>
    </w:p>
    <w:p>
      <w:pPr>
        <w:pStyle w:val="ListBullet"/>
      </w:pPr>
      <w:r>
        <w:t>▲ Healthy cash-flow debt coverage (26464.00x) → liquidity assured ↓ Risk</w:t>
      </w:r>
    </w:p>
    <w:p>
      <w:pPr>
        <w:pStyle w:val="ListBullet"/>
      </w:pPr>
      <w:r>
        <w:t>▲ Strong interest coverage (93.72x) → servicing capacity assured ↓ Risk</w:t>
      </w:r>
    </w:p>
    <w:p>
      <w:pPr>
        <w:pStyle w:val="ListBullet"/>
      </w:pPr>
      <w:r>
        <w:t>▲ DSCR 176426.67x → loan repayment capacity is comfortable ↓ Risk</w:t>
      </w:r>
    </w:p>
    <w:p>
      <w:pPr>
        <w:pStyle w:val="ListBullet"/>
      </w:pPr>
      <w:r>
        <w:t>▼ Thin profit margin (0.0%) → limited downside buffer ↑ Risk</w:t>
      </w:r>
    </w:p>
    <w:p>
      <w:pPr>
        <w:pStyle w:val="Heading1"/>
      </w:pPr>
      <w:r>
        <w:t>6. SWOT Analysis</w:t>
      </w:r>
    </w:p>
    <w:p>
      <w:pPr>
        <w:pStyle w:val="Heading2"/>
      </w:pPr>
      <w:r>
        <w:t>Strengths</w:t>
      </w:r>
    </w:p>
    <w:p>
      <w:pPr>
        <w:pStyle w:val="ListBullet"/>
      </w:pPr>
      <w:r>
        <w:t>Established market presence and brand recognition.</w:t>
      </w:r>
    </w:p>
    <w:p>
      <w:pPr>
        <w:pStyle w:val="ListBullet"/>
      </w:pPr>
      <w:r>
        <w:t>Positive operating cash flows in recent periods.</w:t>
      </w:r>
    </w:p>
    <w:p>
      <w:pPr>
        <w:pStyle w:val="ListBullet"/>
      </w:pPr>
      <w:r>
        <w:t>Diversified revenue streams.</w:t>
      </w:r>
    </w:p>
    <w:p>
      <w:pPr>
        <w:pStyle w:val="Heading2"/>
      </w:pPr>
      <w:r>
        <w:t>Weaknesses</w:t>
      </w:r>
    </w:p>
    <w:p>
      <w:pPr>
        <w:pStyle w:val="ListBullet"/>
      </w:pPr>
      <w:r>
        <w:t>Elevated debt-equity ratio relative to sector peers.</w:t>
      </w:r>
    </w:p>
    <w:p>
      <w:pPr>
        <w:pStyle w:val="ListBullet"/>
      </w:pPr>
      <w:r>
        <w:t>Narrow profit margins reducing downside cushion.</w:t>
      </w:r>
    </w:p>
    <w:p>
      <w:pPr>
        <w:pStyle w:val="ListBullet"/>
      </w:pPr>
      <w:r>
        <w:t>Concentration risk in key customer segments.</w:t>
      </w:r>
    </w:p>
    <w:p>
      <w:pPr>
        <w:pStyle w:val="Heading2"/>
      </w:pPr>
      <w:r>
        <w:t>Opportunities</w:t>
      </w:r>
    </w:p>
    <w:p>
      <w:pPr>
        <w:pStyle w:val="ListBullet"/>
      </w:pPr>
      <w:r>
        <w:t>Potential for operational leverage as revenues scale.</w:t>
      </w:r>
    </w:p>
    <w:p>
      <w:pPr>
        <w:pStyle w:val="ListBullet"/>
      </w:pPr>
      <w:r>
        <w:t>Debt restructuring could reduce interest burden.</w:t>
      </w:r>
    </w:p>
    <w:p>
      <w:pPr>
        <w:pStyle w:val="ListBullet"/>
      </w:pPr>
      <w:r>
        <w:t>Sector tailwinds from infrastructure spending.</w:t>
      </w:r>
    </w:p>
    <w:p>
      <w:pPr>
        <w:pStyle w:val="Heading2"/>
      </w:pPr>
      <w:r>
        <w:t>Threats</w:t>
      </w:r>
    </w:p>
    <w:p>
      <w:pPr>
        <w:pStyle w:val="ListBullet"/>
      </w:pPr>
      <w:r>
        <w:t>Macroeconomic volatility affecting credit availability.</w:t>
      </w:r>
    </w:p>
    <w:p>
      <w:pPr>
        <w:pStyle w:val="ListBullet"/>
      </w:pPr>
      <w:r>
        <w:t>Rising input costs compressing margins.</w:t>
      </w:r>
    </w:p>
    <w:p>
      <w:pPr>
        <w:pStyle w:val="ListBullet"/>
      </w:pPr>
      <w:r>
        <w:t>Regulatory changes in core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