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check</w:t>
      </w:r>
    </w:p>
    <w:p>
      <w:pPr>
        <w:pStyle w:val="Heading1"/>
      </w:pPr>
      <w:r>
        <w:t>1. Executive Summary</w:t>
      </w:r>
    </w:p>
    <w:p>
      <w:r>
        <w:t>Decision: Review Required / Covenants Needed</w:t>
      </w:r>
    </w:p>
    <w:p>
      <w:r>
        <w:t>Risk Rating: B (Medium Risk)</w:t>
      </w:r>
    </w:p>
    <w:p>
      <w:r>
        <w:t>Probability of Default: 62.50%</w:t>
      </w:r>
    </w:p>
    <w:p>
      <w:pPr>
        <w:pStyle w:val="Heading1"/>
      </w:pPr>
      <w:r>
        <w:t>2. Analyst Narrative</w:t>
      </w:r>
    </w:p>
    <w:p>
      <w:r>
        <w:t>check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0.00</w:t>
            </w:r>
          </w:p>
        </w:tc>
      </w:tr>
      <w:tr>
        <w:tc>
          <w:tcPr>
            <w:tcW w:type="dxa" w:w="4320"/>
          </w:tcPr>
          <w:p>
            <w:r>
              <w:t>Net Profit</w:t>
            </w:r>
          </w:p>
        </w:tc>
        <w:tc>
          <w:tcPr>
            <w:tcW w:type="dxa" w:w="4320"/>
          </w:tcPr>
          <w:p>
            <w:r>
              <w:t>0.00</w:t>
            </w:r>
          </w:p>
        </w:tc>
      </w:tr>
      <w:tr>
        <w:tc>
          <w:tcPr>
            <w:tcW w:type="dxa" w:w="4320"/>
          </w:tcPr>
          <w:p>
            <w:r>
              <w:t>Total Debt</w:t>
            </w:r>
          </w:p>
        </w:tc>
        <w:tc>
          <w:tcPr>
            <w:tcW w:type="dxa" w:w="4320"/>
          </w:tcPr>
          <w:p>
            <w:r>
              <w:t>0.00</w:t>
            </w:r>
          </w:p>
        </w:tc>
      </w:tr>
      <w:tr>
        <w:tc>
          <w:tcPr>
            <w:tcW w:type="dxa" w:w="4320"/>
          </w:tcPr>
          <w:p>
            <w:r>
              <w:t>Total Assets</w:t>
            </w:r>
          </w:p>
        </w:tc>
        <w:tc>
          <w:tcPr>
            <w:tcW w:type="dxa" w:w="4320"/>
          </w:tcPr>
          <w:p>
            <w:r>
              <w:t>0.00</w:t>
            </w:r>
          </w:p>
        </w:tc>
      </w:tr>
      <w:tr>
        <w:tc>
          <w:tcPr>
            <w:tcW w:type="dxa" w:w="4320"/>
          </w:tcPr>
          <w:p>
            <w:r>
              <w:t>Operating Cash Flow</w:t>
            </w:r>
          </w:p>
        </w:tc>
        <w:tc>
          <w:tcPr>
            <w:tcW w:type="dxa" w:w="4320"/>
          </w:tcPr>
          <w:p>
            <w:r>
              <w:t>0.00</w:t>
            </w:r>
          </w:p>
        </w:tc>
      </w:tr>
    </w:tbl>
    <w:p>
      <w:pPr>
        <w:pStyle w:val="Heading1"/>
      </w:pPr>
      <w:r>
        <w:t>4. Five C's Assessment</w:t>
      </w:r>
    </w:p>
    <w:p>
      <w:pPr>
        <w:pStyle w:val="ListBullet"/>
      </w:pPr>
      <w:r>
        <w:t>Character: 8.0/10 – Clean public record detected.</w:t>
      </w:r>
    </w:p>
    <w:p>
      <w:pPr>
        <w:pStyle w:val="ListBullet"/>
      </w:pPr>
      <w:r>
        <w:t>Capacity: 5.0/10 – Profit margin 0.0%, DSCR 0.00x, Interest Coverage 0.00x.</w:t>
      </w:r>
    </w:p>
    <w:p>
      <w:pPr>
        <w:pStyle w:val="ListBullet"/>
      </w:pPr>
      <w:r>
        <w:t>Capital: 7.0/10 – D/E ratio 0.00, ROA 0.0%.</w:t>
      </w:r>
    </w:p>
    <w:p>
      <w:pPr>
        <w:pStyle w:val="ListBullet"/>
      </w:pPr>
      <w:r>
        <w:t>Collateral: 5.0/10 – Current ratio 0.0x, estimated asset coverage vs loan.</w:t>
      </w:r>
    </w:p>
    <w:p>
      <w:pPr>
        <w:pStyle w:val="ListBullet"/>
      </w:pPr>
      <w:r>
        <w:t>Conditions: 6.3/10 – No sector-level signals retrieved.</w:t>
      </w:r>
    </w:p>
    <w:p>
      <w:pPr>
        <w:pStyle w:val="Heading1"/>
      </w:pPr>
      <w:r>
        <w:t>5. Key Decision Drivers (XAI)</w:t>
      </w:r>
    </w:p>
    <w:p>
      <w:pPr>
        <w:pStyle w:val="ListBullet"/>
      </w:pPr>
      <w:r>
        <w:t>▲ Low Debt-to-Equity ratio (0.00x) → strong capital structure ↓ Risk</w:t>
      </w:r>
    </w:p>
    <w:p>
      <w:pPr>
        <w:pStyle w:val="ListBullet"/>
      </w:pPr>
      <w:r>
        <w:t>▲ No major adverse OSINT flags → stable external risk profile ↓ Risk</w:t>
      </w:r>
    </w:p>
    <w:p>
      <w:pPr>
        <w:pStyle w:val="ListBullet"/>
      </w:pPr>
      <w:r>
        <w:t>▼ Thin profit margin (0.0%) → limited downside buffer ↑ Risk</w:t>
      </w:r>
    </w:p>
    <w:p>
      <w:pPr>
        <w:pStyle w:val="ListBullet"/>
      </w:pPr>
      <w:r>
        <w:t>▼ Low cash-flow debt coverage (0.00x) → liquidity concern ↑ Risk</w:t>
      </w:r>
    </w:p>
    <w:p>
      <w:pPr>
        <w:pStyle w:val="ListBullet"/>
      </w:pPr>
      <w:r>
        <w:t>▼ Weak interest coverage (0.00x) → debt servicing risk ↑ Risk</w:t>
      </w:r>
    </w:p>
    <w:p>
      <w:pPr>
        <w:pStyle w:val="ListBullet"/>
      </w:pPr>
      <w:r>
        <w:t>▼ DSCR below 1.0 (0.00x) → repayment capacity concern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