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557"/>
            </w:pPr>
          </w:p>
          <w:p>
            <w:pPr>
              <w:pBdr>
                <w:bottom w:val="single" w:color="529286" w:sz="6" w:space="8"/>
              </w:pBdr>
              <w:spacing w:after="500"/>
              <w:ind w:left="1200" w:right="800"/>
            </w:pPr>
            <w:r>
              <w:rPr>
                <w:rFonts w:ascii="Calibri" w:eastAsia="SimHei"/>
                <w:color w:val="529286"/>
                <w:spacing w:val="40"/>
                <w:sz w:val="18"/>
                <w:szCs w:val="18"/>
              </w:rPr>
              <w:t xml:space="preserve">A  P  O  L  L  O     S  C  O  U  T     E  N  G  I  N  E        |        D  I  A  G  N  O  S  T  I  C     R  E  P  O  R  T</w:t>
            </w:r>
          </w:p>
          <w:p>
            <w:pPr>
              <w:spacing w:after="100" w:line="552" w:lineRule="atLeast"/>
              <w:ind w:left="1200"/>
            </w:pPr>
            <w:r>
              <w:rPr>
                <w:rFonts w:ascii="Arial" w:eastAsia="SimHei"/>
                <w:b/>
                <w:bCs/>
                <w:color w:val="FFFFFF"/>
                <w:sz w:val="48"/>
                <w:szCs w:val="48"/>
              </w:rPr>
              <w:t xml:space="preserve">P&amp;L Regression</w:t>
            </w:r>
          </w:p>
          <w:p>
            <w:pPr>
              <w:spacing w:after="100" w:line="552" w:lineRule="atLeast"/>
              <w:ind w:left="1200"/>
            </w:pPr>
            <w:r>
              <w:rPr>
                <w:rFonts w:ascii="Arial" w:eastAsia="SimHei"/>
                <w:b/>
                <w:bCs/>
                <w:color w:val="FFFFFF"/>
                <w:sz w:val="48"/>
                <w:szCs w:val="48"/>
              </w:rPr>
              <w:t xml:space="preserve">Analysis: Restoring</w:t>
            </w:r>
          </w:p>
          <w:p>
            <w:pPr>
              <w:spacing w:after="100" w:line="552" w:lineRule="atLeast"/>
              <w:ind w:left="1200"/>
            </w:pPr>
            <w:r>
              <w:rPr>
                <w:rFonts w:ascii="Arial" w:eastAsia="SimHei"/>
                <w:b/>
                <w:bCs/>
                <w:color w:val="FFFFFF"/>
                <w:sz w:val="48"/>
                <w:szCs w:val="48"/>
              </w:rPr>
              <w:t xml:space="preserve">Apollo Engine to</w:t>
            </w:r>
          </w:p>
          <w:p>
            <w:pPr>
              <w:spacing w:after="100" w:line="552" w:lineRule="atLeast"/>
              <w:ind w:left="1200"/>
            </w:pPr>
            <w:r>
              <w:rPr>
                <w:rFonts w:ascii="Arial" w:eastAsia="SimHei"/>
                <w:b/>
                <w:bCs/>
                <w:color w:val="FFFFFF"/>
                <w:sz w:val="48"/>
                <w:szCs w:val="48"/>
              </w:rPr>
              <w:t xml:space="preserve">+267.7% Cumulative</w:t>
            </w:r>
          </w:p>
          <w:p>
            <w:pPr>
              <w:spacing w:after="300" w:line="552" w:lineRule="atLeast"/>
              <w:ind w:left="1200"/>
            </w:pPr>
            <w:r>
              <w:rPr>
                <w:rFonts w:ascii="Arial" w:eastAsia="SimHei"/>
                <w:b/>
                <w:bCs/>
                <w:color w:val="FFFFFF"/>
                <w:sz w:val="48"/>
                <w:szCs w:val="48"/>
              </w:rPr>
              <w:t xml:space="preserve">Return</w:t>
            </w:r>
          </w:p>
          <w:p>
            <w:pPr>
              <w:spacing w:after="800"/>
              <w:ind w:left="1200"/>
            </w:pPr>
            <w:r>
              <w:rPr>
                <w:rFonts w:ascii="Arial" w:eastAsia="Microsoft YaHei"/>
                <w:color w:val="B0B8C0"/>
                <w:sz w:val="24"/>
                <w:szCs w:val="24"/>
              </w:rPr>
              <w:t xml:space="preserve">Root Cause Analysis and Step-by-Step Restoration Plan</w:t>
            </w:r>
          </w:p>
          <w:p>
            <w:pPr>
              <w:pBdr>
                <w:left w:val="single" w:color="529286" w:sz="8" w:space="12"/>
              </w:pBdr>
              <w:spacing w:after="80"/>
              <w:ind w:left="1400"/>
            </w:pPr>
            <w:r>
              <w:rPr>
                <w:rFonts w:ascii="Arial" w:eastAsia="Microsoft YaHei"/>
                <w:color w:val="90989F"/>
                <w:sz w:val="24"/>
                <w:szCs w:val="24"/>
              </w:rPr>
              <w:t xml:space="preserve">Version Comparison: v6 (GitHub) vs v7 (Latest Build)</w:t>
            </w:r>
          </w:p>
          <w:p>
            <w:pPr>
              <w:pBdr>
                <w:left w:val="single" w:color="529286" w:sz="8" w:space="12"/>
              </w:pBdr>
              <w:spacing w:after="80"/>
              <w:ind w:left="1400"/>
            </w:pPr>
            <w:r>
              <w:rPr>
                <w:rFonts w:ascii="Arial" w:eastAsia="Microsoft YaHei"/>
                <w:color w:val="90989F"/>
                <w:sz w:val="24"/>
                <w:szCs w:val="24"/>
              </w:rPr>
              <w:t xml:space="preserve">Date: July 14, 2026</w:t>
            </w:r>
          </w:p>
          <w:p>
            <w:pPr>
              <w:pBdr>
                <w:left w:val="single" w:color="529286" w:sz="8" w:space="12"/>
              </w:pBdr>
              <w:spacing w:after="80"/>
              <w:ind w:left="1400"/>
            </w:pPr>
            <w:r>
              <w:rPr>
                <w:rFonts w:ascii="Arial" w:eastAsia="Microsoft YaHei"/>
                <w:color w:val="90989F"/>
                <w:sz w:val="24"/>
                <w:szCs w:val="24"/>
              </w:rPr>
              <w:t xml:space="preserve">Classification: Internal Technical Review</w:t>
            </w:r>
          </w:p>
          <w:p>
            <w:pPr>
              <w:spacing w:before="3557"/>
            </w:pPr>
          </w:p>
          <w:p>
            <w:pPr>
              <w:pBdr>
                <w:top w:val="single" w:color="529286" w:sz="2" w:space="8"/>
              </w:pBdr>
              <w:spacing w:before="200"/>
              <w:ind w:left="1200" w:right="800"/>
            </w:pPr>
            <w:r>
              <w:rPr>
                <w:rFonts w:ascii="Arial"/>
                <w:color w:val="687078"/>
                <w:sz w:val="16"/>
                <w:szCs w:val="16"/>
              </w:rPr>
              <w:t xml:space="preserve">Apollo Trading Engine</w:t>
            </w:r>
            <w:r>
              <w:t xml:space="preserve">                                                  </w:t>
            </w:r>
            <w:r>
              <w:rPr>
                <w:rFonts w:ascii="Arial"/>
                <w:color w:val="687078"/>
                <w:sz w:val="16"/>
                <w:szCs w:val="16"/>
              </w:rPr>
              <w:t xml:space="preserve">July 2026</w:t>
            </w:r>
          </w:p>
        </w:tc>
      </w:tr>
    </w:tbl>
    <w:p>
      <w:pPr>
        <w:sectPr>
          <w:pgSz w:w="11906" w:h="16838" w:orient="portrait"/>
          <w:pgMar w:top="0" w:right="0" w:bottom="0" w:left="0" w:header="708" w:footer="708" w:gutter="0"/>
          <w:pgNumType/>
          <w:docGrid w:linePitch="360"/>
        </w:sectPr>
      </w:pPr>
    </w:p>
    <w:p>
      <w:pPr>
        <w:spacing w:after="300"/>
      </w:pPr>
      <w:r>
        <w:rPr>
          <w:rFonts w:eastAsia="SimHei"/>
          <w:b/>
          <w:bCs/>
          <w:color w:val="1018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Performance Comparison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Key Performance Indicators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Classification Distribution Shift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Root Cause Analysis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Primary Cause: Bonus C Time Decay (Impact: ~120-150 P&amp;L points)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Secondary Cause: Entry Threshold 70 to 75 (Impact: ~100-120 P&amp;L points)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Tertiary Cause: ADX Sideways Filter (Impact: ~10-20 P&amp;L points)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3.4 Divergence Exit Behavior Change</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Trade-by-Trade Impact Analysis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5. Signal Pool Utilization Impact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Restoration Options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6.1 Option A: Full Reversion to v6 Parameters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6.2 Option B: Hybrid Approach (Recommended)</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6.3 Option C: Retain 75 Threshold with Adjusted Bonus C</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7. Implementation Plan (Option B: Hybrid)</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7.1 Code Changes Required</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7.2 Validation Steps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7.3 Versioning and Documentation</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8. Risk Assessment and Caveats</w:t>
            </w:r>
            <w:r>
              <w:tab/>
            </w:r>
            <w:r>
              <w:fldChar w:fldCharType="begin"/>
            </w:r>
            <w:r>
              <w:instrText xml:space="preserve"> PAGEREF _Toc100019 \h </w:instrText>
            </w:r>
            <w:r>
              <w:fldChar w:fldCharType="separate"/>
            </w:r>
            <w:r>
              <w:t>9</w:t>
            </w:r>
            <w:r>
              <w:fldChar w:fldCharType="end"/>
            </w:r>
          </w:hyperlink>
        </w:p>
        <w:p>
          <w:r>
            <w:fldChar w:fldCharType="end"/>
          </w:r>
        </w:p>
      </w:sdtContent>
    </w:sdt>
    <w:p>
      <w:pPr>
        <w:spacing w:before="200"/>
      </w:pPr>
      <w:r>
        <w:rPr>
          <w:rFonts w:ascii="Calibri"/>
          <w:i/>
          <w:iCs/>
          <w:color w:val="5B6B7D"/>
          <w:sz w:val="18"/>
          <w:szCs w:val="18"/>
        </w:rPr>
        <w:t xml:space="preserve">Note: Right-click the table of contents and select 'Update Field' to refresh page numbers.</w:t>
      </w:r>
    </w:p>
    <w:p>
      <w:r>
        <w:br w:type="page"/>
      </w:r>
    </w:p>
    <w:p>
      <w:pPr>
        <w:sectPr>
          <w:type w:val="nextPage"/>
          <w:pgSz w:w="11906" w:h="16838" w:orient="portrait"/>
          <w:pgMar w:top="1440" w:right="1417" w:bottom="1440" w:left="1701" w:header="708" w:footer="708" w:gutter="0"/>
          <w:pgNumType/>
          <w:docGrid w:linePitch="360"/>
        </w:sectPr>
      </w:pPr>
    </w:p>
    <w:p>
      <w:pPr>
        <w:pStyle w:val="Heading1"/>
        <w:spacing w:after="160" w:before="360" w:line="312"/>
      </w:pPr>
      <w:bookmarkStart w:id="100000" w:name="_Toc100000"/>
      <w:r>
        <w:rPr>
          <w:rFonts w:ascii="Calibri" w:eastAsia="SimHei"/>
          <w:b/>
          <w:bCs/>
          <w:color w:val="101820"/>
          <w:sz w:val="32"/>
          <w:szCs w:val="32"/>
        </w:rPr>
        <w:t xml:space="preserve">1. Executive Summary</w:t>
      </w:r>
      <w:bookmarkEnd w:id="100000"/>
    </w:p>
    <w:p>
      <w:pPr>
        <w:spacing w:after="120" w:line="312"/>
        <w:ind w:firstLine="480"/>
        <w:jc w:val="both"/>
      </w:pPr>
      <w:r>
        <w:rPr>
          <w:rFonts w:ascii="Calibri" w:eastAsia="Microsoft YaHei"/>
          <w:color w:val="1A2B40"/>
          <w:sz w:val="24"/>
          <w:szCs w:val="24"/>
        </w:rPr>
        <w:t xml:space="preserve">This report presents a detailed diagnostic analysis of the performance regression observed between Apollo Engine backtest versions v6 and v7. The v6 build, available on GitHub, produced a cumulative P&amp;L of +267.7% across 10 completed trades over 377 trading days (January 2025 to July 2026) on APOLLO stock. The latest v7 build, incorporating all audit-recommended changes from the July 13 feature audit, produced only +59.7% across 7 trades on the identical dataset and time range. This represents a 77.7% relative decline in cumulative returns despite no change in the underlying price data (buy-and-hold return remained constant at +238.8%).</w:t>
      </w:r>
    </w:p>
    <w:p>
      <w:pPr>
        <w:spacing w:after="120" w:line="312"/>
        <w:ind w:firstLine="480"/>
        <w:jc w:val="both"/>
      </w:pPr>
      <w:r>
        <w:rPr>
          <w:rFonts w:ascii="Calibri" w:eastAsia="Microsoft YaHei"/>
          <w:color w:val="1A2B40"/>
          <w:sz w:val="24"/>
          <w:szCs w:val="24"/>
        </w:rPr>
        <w:t xml:space="preserve">Through systematic A/B comparison of both reports across all five sheets (Executive Summary, Daily Scores, Trade Log, Trough Cycles, and Signal Analysis), three root causes were identified. The single largest contributor is the BC1/BC2 Bonus C time-decay mechanism, which reduced the average daily Bonus C contribution from 2.9 points to 0.4 points, suppressing total scores and preventing trade entries. The second contributor is the entry threshold increase from 70 to 75, which blocked three of the ten v6 trades including the two largest winners (+80.5% and +84.3%). The third is the ADX &lt; 20 sideways market filter, which further reduced entry opportunities.</w:t>
      </w:r>
    </w:p>
    <w:p>
      <w:pPr>
        <w:spacing w:after="120" w:line="312"/>
        <w:ind w:firstLine="480"/>
        <w:jc w:val="both"/>
      </w:pPr>
      <w:r>
        <w:rPr>
          <w:rFonts w:ascii="Calibri" w:eastAsia="Microsoft YaHei"/>
          <w:color w:val="1A2B40"/>
          <w:sz w:val="24"/>
          <w:szCs w:val="24"/>
        </w:rPr>
        <w:t xml:space="preserve">This report quantifies each change's impact, provides a trade-by-trade comparison, and delivers a precise, prioritized restoration plan with three recommended configurations ranging from a full reversion to v6 parameters through a hybrid approach that retains genuine improvements while recovering the majority of lost P&amp;L. The recommended path is Option B (Hybrid), which is projected to restore cumulative P&amp;L to approximately +240-270% while keeping the B6 signal, Pool B cap increase to 30, and the 4H alignment fix.</w:t>
      </w:r>
    </w:p>
    <w:p>
      <w:pPr>
        <w:pStyle w:val="Heading1"/>
        <w:spacing w:after="160" w:before="360" w:line="312"/>
      </w:pPr>
      <w:bookmarkStart w:id="100001" w:name="_Toc100001"/>
      <w:r>
        <w:rPr>
          <w:rFonts w:ascii="Calibri" w:eastAsia="SimHei"/>
          <w:b/>
          <w:bCs/>
          <w:color w:val="101820"/>
          <w:sz w:val="32"/>
          <w:szCs w:val="32"/>
        </w:rPr>
        <w:t xml:space="preserve">2. Performance Comparison Overview</w:t>
      </w:r>
      <w:bookmarkEnd w:id="100001"/>
    </w:p>
    <w:p>
      <w:pPr>
        <w:pStyle w:val="Heading2"/>
        <w:spacing w:after="120" w:before="240" w:line="312"/>
      </w:pPr>
      <w:bookmarkStart w:id="100002" w:name="_Toc100002"/>
      <w:r>
        <w:rPr>
          <w:rFonts w:ascii="Calibri" w:eastAsia="SimHei"/>
          <w:b/>
          <w:bCs/>
          <w:color w:val="101820"/>
          <w:sz w:val="28"/>
          <w:szCs w:val="28"/>
        </w:rPr>
        <w:t xml:space="preserve">2.1 Key Performance Indicators</w:t>
      </w:r>
      <w:bookmarkEnd w:id="100002"/>
    </w:p>
    <w:p>
      <w:pPr>
        <w:spacing w:after="120" w:line="312"/>
        <w:ind w:firstLine="480"/>
        <w:jc w:val="both"/>
      </w:pPr>
      <w:r>
        <w:rPr>
          <w:rFonts w:ascii="Calibri" w:eastAsia="Microsoft YaHei"/>
          <w:color w:val="1A2B40"/>
          <w:sz w:val="24"/>
          <w:szCs w:val="24"/>
        </w:rPr>
        <w:t xml:space="preserve">The headline metrics tell a clear story. Both v6 and v7 were run on identical data covering 377 trading days of APOLLO stock from January 1, 2025 to July 10, 2026. The stock moved from 120.68 to 408.85, a buy-and-hold return of +238.8%. Despite this constant backdrop, the engine's trading outcomes diverged dramatically. The average daily score declined modestly from 63.8 to 61.4, while the peak score actually improved slightly from 95.38 to 97.27, suggesting the core signal computation is sound and the divergence is primarily in entry/exit logic, not scoring quality.</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rFonts w:ascii="Calibri"/>
                <w:b/>
                <w:bCs/>
                <w:color w:val="FFFFFF"/>
                <w:sz w:val="21"/>
                <w:szCs w:val="21"/>
              </w:rPr>
              <w:t xml:space="preserve">Metric</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v6 (GitHub)</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v7 (Latest)</w:t>
            </w:r>
          </w:p>
        </w:tc>
        <w:tc>
          <w:tcPr>
            <w:tcW w:type="pct" w:w="22%"/>
            <w:shd w:fill="529286" w:val="clear"/>
            <w:tcMar>
              <w:top w:type="dxa" w:w="60"/>
              <w:left w:type="dxa" w:w="120"/>
              <w:bottom w:type="dxa" w:w="60"/>
              <w:right w:type="dxa" w:w="120"/>
            </w:tcMar>
          </w:tcPr>
          <w:p>
            <w:r>
              <w:rPr>
                <w:rFonts w:ascii="Calibri"/>
                <w:b/>
                <w:bCs/>
                <w:color w:val="FFFFFF"/>
                <w:sz w:val="21"/>
                <w:szCs w:val="21"/>
              </w:rPr>
              <w:t xml:space="preserve">Delta</w:t>
            </w:r>
          </w:p>
        </w:tc>
        <w:tc>
          <w:tcPr>
            <w:tcW w:type="pct" w:w="17%"/>
            <w:shd w:fill="529286" w:val="clear"/>
            <w:tcMar>
              <w:top w:type="dxa" w:w="60"/>
              <w:left w:type="dxa" w:w="120"/>
              <w:bottom w:type="dxa" w:w="60"/>
              <w:right w:type="dxa" w:w="120"/>
            </w:tcMar>
          </w:tcPr>
          <w:p>
            <w:r>
              <w:rPr>
                <w:rFonts w:ascii="Calibri"/>
                <w:b/>
                <w:bCs/>
                <w:color w:val="FFFFFF"/>
                <w:sz w:val="21"/>
                <w:szCs w:val="21"/>
              </w:rPr>
              <w:t xml:space="preserve">Impact</w:t>
            </w:r>
          </w:p>
        </w:tc>
      </w:tr>
      <w:tr>
        <w:trPr>
          <w:cantSplit/>
        </w:trPr>
        <w:tc>
          <w:tcPr>
            <w:tcW w:type="pct" w:w="25%"/>
            <w:tcMar>
              <w:top w:type="dxa" w:w="50"/>
              <w:left w:type="dxa" w:w="120"/>
              <w:bottom w:type="dxa" w:w="50"/>
              <w:right w:type="dxa" w:w="120"/>
            </w:tcMar>
          </w:tcPr>
          <w:p>
            <w:r>
              <w:rPr>
                <w:rFonts w:ascii="Calibri"/>
                <w:color w:val="1A2B40"/>
                <w:sz w:val="21"/>
                <w:szCs w:val="21"/>
              </w:rPr>
              <w:t xml:space="preserve">Avg Daily Score</w:t>
            </w:r>
          </w:p>
        </w:tc>
        <w:tc>
          <w:tcPr>
            <w:tcW w:type="pct" w:w="18%"/>
            <w:tcMar>
              <w:top w:type="dxa" w:w="50"/>
              <w:left w:type="dxa" w:w="120"/>
              <w:bottom w:type="dxa" w:w="50"/>
              <w:right w:type="dxa" w:w="120"/>
            </w:tcMar>
          </w:tcPr>
          <w:p>
            <w:r>
              <w:rPr>
                <w:rFonts w:ascii="Calibri"/>
                <w:color w:val="1A2B40"/>
                <w:sz w:val="21"/>
                <w:szCs w:val="21"/>
              </w:rPr>
              <w:t xml:space="preserve">63.8</w:t>
            </w:r>
          </w:p>
        </w:tc>
        <w:tc>
          <w:tcPr>
            <w:tcW w:type="pct" w:w="18%"/>
            <w:tcMar>
              <w:top w:type="dxa" w:w="50"/>
              <w:left w:type="dxa" w:w="120"/>
              <w:bottom w:type="dxa" w:w="50"/>
              <w:right w:type="dxa" w:w="120"/>
            </w:tcMar>
          </w:tcPr>
          <w:p>
            <w:r>
              <w:rPr>
                <w:rFonts w:ascii="Calibri"/>
                <w:color w:val="1A2B40"/>
                <w:sz w:val="21"/>
                <w:szCs w:val="21"/>
              </w:rPr>
              <w:t xml:space="preserve">61.4</w:t>
            </w:r>
          </w:p>
        </w:tc>
        <w:tc>
          <w:tcPr>
            <w:tcW w:type="pct" w:w="22%"/>
            <w:tcMar>
              <w:top w:type="dxa" w:w="50"/>
              <w:left w:type="dxa" w:w="120"/>
              <w:bottom w:type="dxa" w:w="50"/>
              <w:right w:type="dxa" w:w="120"/>
            </w:tcMar>
          </w:tcPr>
          <w:p>
            <w:r>
              <w:rPr>
                <w:rFonts w:ascii="Calibri"/>
                <w:color w:val="1A2B40"/>
                <w:sz w:val="21"/>
                <w:szCs w:val="21"/>
              </w:rPr>
              <w:t xml:space="preserve">-2.4 (-3.8%)</w:t>
            </w:r>
          </w:p>
        </w:tc>
        <w:tc>
          <w:tcPr>
            <w:tcW w:type="pct" w:w="17%"/>
            <w:tcMar>
              <w:top w:type="dxa" w:w="50"/>
              <w:left w:type="dxa" w:w="120"/>
              <w:bottom w:type="dxa" w:w="50"/>
              <w:right w:type="dxa" w:w="120"/>
            </w:tcMar>
          </w:tcPr>
          <w:p>
            <w:r>
              <w:rPr>
                <w:rFonts w:ascii="Calibri"/>
                <w:color w:val="1A2B40"/>
                <w:sz w:val="21"/>
                <w:szCs w:val="21"/>
              </w:rPr>
              <w:t xml:space="preserve">Minor</w:t>
            </w:r>
          </w:p>
        </w:tc>
      </w:tr>
      <w:tr>
        <w:trPr>
          <w:cantSplit/>
        </w:trPr>
        <w:tc>
          <w:tcPr>
            <w:tcW w:type="pct" w:w="25%"/>
            <w:shd w:fill="E8ECEB" w:val="clear"/>
            <w:tcMar>
              <w:top w:type="dxa" w:w="50"/>
              <w:left w:type="dxa" w:w="120"/>
              <w:bottom w:type="dxa" w:w="50"/>
              <w:right w:type="dxa" w:w="120"/>
            </w:tcMar>
          </w:tcPr>
          <w:p>
            <w:r>
              <w:rPr>
                <w:rFonts w:ascii="Calibri"/>
                <w:color w:val="1A2B40"/>
                <w:sz w:val="21"/>
                <w:szCs w:val="21"/>
              </w:rPr>
              <w:t xml:space="preserve">Peak Score</w:t>
            </w:r>
          </w:p>
        </w:tc>
        <w:tc>
          <w:tcPr>
            <w:tcW w:type="pct" w:w="18%"/>
            <w:shd w:fill="E8ECEB" w:val="clear"/>
            <w:tcMar>
              <w:top w:type="dxa" w:w="50"/>
              <w:left w:type="dxa" w:w="120"/>
              <w:bottom w:type="dxa" w:w="50"/>
              <w:right w:type="dxa" w:w="120"/>
            </w:tcMar>
          </w:tcPr>
          <w:p>
            <w:r>
              <w:rPr>
                <w:rFonts w:ascii="Calibri"/>
                <w:color w:val="1A2B40"/>
                <w:sz w:val="21"/>
                <w:szCs w:val="21"/>
              </w:rPr>
              <w:t xml:space="preserve">95.38</w:t>
            </w:r>
          </w:p>
        </w:tc>
        <w:tc>
          <w:tcPr>
            <w:tcW w:type="pct" w:w="18%"/>
            <w:shd w:fill="E8ECEB" w:val="clear"/>
            <w:tcMar>
              <w:top w:type="dxa" w:w="50"/>
              <w:left w:type="dxa" w:w="120"/>
              <w:bottom w:type="dxa" w:w="50"/>
              <w:right w:type="dxa" w:w="120"/>
            </w:tcMar>
          </w:tcPr>
          <w:p>
            <w:r>
              <w:rPr>
                <w:rFonts w:ascii="Calibri"/>
                <w:color w:val="1A2B40"/>
                <w:sz w:val="21"/>
                <w:szCs w:val="21"/>
              </w:rPr>
              <w:t xml:space="preserve">97.27</w:t>
            </w:r>
          </w:p>
        </w:tc>
        <w:tc>
          <w:tcPr>
            <w:tcW w:type="pct" w:w="22%"/>
            <w:shd w:fill="E8ECEB" w:val="clear"/>
            <w:tcMar>
              <w:top w:type="dxa" w:w="50"/>
              <w:left w:type="dxa" w:w="120"/>
              <w:bottom w:type="dxa" w:w="50"/>
              <w:right w:type="dxa" w:w="120"/>
            </w:tcMar>
          </w:tcPr>
          <w:p>
            <w:r>
              <w:rPr>
                <w:rFonts w:ascii="Calibri"/>
                <w:color w:val="1A2B40"/>
                <w:sz w:val="21"/>
                <w:szCs w:val="21"/>
              </w:rPr>
              <w:t xml:space="preserve">+1.89 (+2.0%)</w:t>
            </w:r>
          </w:p>
        </w:tc>
        <w:tc>
          <w:tcPr>
            <w:tcW w:type="pct" w:w="17%"/>
            <w:shd w:fill="E8ECEB" w:val="clear"/>
            <w:tcMar>
              <w:top w:type="dxa" w:w="50"/>
              <w:left w:type="dxa" w:w="120"/>
              <w:bottom w:type="dxa" w:w="50"/>
              <w:right w:type="dxa" w:w="120"/>
            </w:tcMar>
          </w:tcPr>
          <w:p>
            <w:r>
              <w:rPr>
                <w:rFonts w:ascii="Calibri"/>
                <w:color w:val="1A2B40"/>
                <w:sz w:val="21"/>
                <w:szCs w:val="21"/>
              </w:rPr>
              <w:t xml:space="preserve">Improved</w:t>
            </w:r>
          </w:p>
        </w:tc>
      </w:tr>
      <w:tr>
        <w:trPr>
          <w:cantSplit/>
        </w:trPr>
        <w:tc>
          <w:tcPr>
            <w:tcW w:type="pct" w:w="25%"/>
            <w:tcMar>
              <w:top w:type="dxa" w:w="50"/>
              <w:left w:type="dxa" w:w="120"/>
              <w:bottom w:type="dxa" w:w="50"/>
              <w:right w:type="dxa" w:w="120"/>
            </w:tcMar>
          </w:tcPr>
          <w:p>
            <w:r>
              <w:rPr>
                <w:rFonts w:ascii="Calibri"/>
                <w:color w:val="1A2B40"/>
                <w:sz w:val="21"/>
                <w:szCs w:val="21"/>
              </w:rPr>
              <w:t xml:space="preserve">Median Score</w:t>
            </w:r>
          </w:p>
        </w:tc>
        <w:tc>
          <w:tcPr>
            <w:tcW w:type="pct" w:w="18%"/>
            <w:tcMar>
              <w:top w:type="dxa" w:w="50"/>
              <w:left w:type="dxa" w:w="120"/>
              <w:bottom w:type="dxa" w:w="50"/>
              <w:right w:type="dxa" w:w="120"/>
            </w:tcMar>
          </w:tcPr>
          <w:p>
            <w:r>
              <w:rPr>
                <w:rFonts w:ascii="Calibri"/>
                <w:color w:val="1A2B40"/>
                <w:sz w:val="21"/>
                <w:szCs w:val="21"/>
              </w:rPr>
              <w:t xml:space="preserve">67</w:t>
            </w:r>
          </w:p>
        </w:tc>
        <w:tc>
          <w:tcPr>
            <w:tcW w:type="pct" w:w="18%"/>
            <w:tcMar>
              <w:top w:type="dxa" w:w="50"/>
              <w:left w:type="dxa" w:w="120"/>
              <w:bottom w:type="dxa" w:w="50"/>
              <w:right w:type="dxa" w:w="120"/>
            </w:tcMar>
          </w:tcPr>
          <w:p>
            <w:r>
              <w:rPr>
                <w:rFonts w:ascii="Calibri"/>
                <w:color w:val="1A2B40"/>
                <w:sz w:val="21"/>
                <w:szCs w:val="21"/>
              </w:rPr>
              <w:t xml:space="preserve">65</w:t>
            </w:r>
          </w:p>
        </w:tc>
        <w:tc>
          <w:tcPr>
            <w:tcW w:type="pct" w:w="22%"/>
            <w:tcMar>
              <w:top w:type="dxa" w:w="50"/>
              <w:left w:type="dxa" w:w="120"/>
              <w:bottom w:type="dxa" w:w="50"/>
              <w:right w:type="dxa" w:w="120"/>
            </w:tcMar>
          </w:tcPr>
          <w:p>
            <w:r>
              <w:rPr>
                <w:rFonts w:ascii="Calibri"/>
                <w:color w:val="1A2B40"/>
                <w:sz w:val="21"/>
                <w:szCs w:val="21"/>
              </w:rPr>
              <w:t xml:space="preserve">-2 (-3.0%)</w:t>
            </w:r>
          </w:p>
        </w:tc>
        <w:tc>
          <w:tcPr>
            <w:tcW w:type="pct" w:w="17%"/>
            <w:tcMar>
              <w:top w:type="dxa" w:w="50"/>
              <w:left w:type="dxa" w:w="120"/>
              <w:bottom w:type="dxa" w:w="50"/>
              <w:right w:type="dxa" w:w="120"/>
            </w:tcMar>
          </w:tcPr>
          <w:p>
            <w:r>
              <w:rPr>
                <w:rFonts w:ascii="Calibri"/>
                <w:color w:val="1A2B40"/>
                <w:sz w:val="21"/>
                <w:szCs w:val="21"/>
              </w:rPr>
              <w:t xml:space="preserve">Minor</w:t>
            </w:r>
          </w:p>
        </w:tc>
      </w:tr>
      <w:tr>
        <w:trPr>
          <w:cantSplit/>
        </w:trPr>
        <w:tc>
          <w:tcPr>
            <w:tcW w:type="pct" w:w="25%"/>
            <w:shd w:fill="E8ECEB" w:val="clear"/>
            <w:tcMar>
              <w:top w:type="dxa" w:w="50"/>
              <w:left w:type="dxa" w:w="120"/>
              <w:bottom w:type="dxa" w:w="50"/>
              <w:right w:type="dxa" w:w="120"/>
            </w:tcMar>
          </w:tcPr>
          <w:p>
            <w:r>
              <w:rPr>
                <w:rFonts w:ascii="Calibri"/>
                <w:color w:val="1A2B40"/>
                <w:sz w:val="21"/>
                <w:szCs w:val="21"/>
              </w:rPr>
              <w:t xml:space="preserve">Completed Trades</w:t>
            </w:r>
          </w:p>
        </w:tc>
        <w:tc>
          <w:tcPr>
            <w:tcW w:type="pct" w:w="18%"/>
            <w:shd w:fill="E8ECEB" w:val="clear"/>
            <w:tcMar>
              <w:top w:type="dxa" w:w="50"/>
              <w:left w:type="dxa" w:w="120"/>
              <w:bottom w:type="dxa" w:w="50"/>
              <w:right w:type="dxa" w:w="120"/>
            </w:tcMar>
          </w:tcPr>
          <w:p>
            <w:r>
              <w:rPr>
                <w:rFonts w:ascii="Calibri"/>
                <w:color w:val="1A2B40"/>
                <w:sz w:val="21"/>
                <w:szCs w:val="21"/>
              </w:rPr>
              <w:t xml:space="preserve">10</w:t>
            </w:r>
          </w:p>
        </w:tc>
        <w:tc>
          <w:tcPr>
            <w:tcW w:type="pct" w:w="18%"/>
            <w:shd w:fill="E8ECEB" w:val="clear"/>
            <w:tcMar>
              <w:top w:type="dxa" w:w="50"/>
              <w:left w:type="dxa" w:w="120"/>
              <w:bottom w:type="dxa" w:w="50"/>
              <w:right w:type="dxa" w:w="120"/>
            </w:tcMar>
          </w:tcPr>
          <w:p>
            <w:r>
              <w:rPr>
                <w:rFonts w:ascii="Calibri"/>
                <w:color w:val="1A2B40"/>
                <w:sz w:val="21"/>
                <w:szCs w:val="21"/>
              </w:rPr>
              <w:t xml:space="preserve">7</w:t>
            </w:r>
          </w:p>
        </w:tc>
        <w:tc>
          <w:tcPr>
            <w:tcW w:type="pct" w:w="22%"/>
            <w:shd w:fill="E8ECEB" w:val="clear"/>
            <w:tcMar>
              <w:top w:type="dxa" w:w="50"/>
              <w:left w:type="dxa" w:w="120"/>
              <w:bottom w:type="dxa" w:w="50"/>
              <w:right w:type="dxa" w:w="120"/>
            </w:tcMar>
          </w:tcPr>
          <w:p>
            <w:r>
              <w:rPr>
                <w:rFonts w:ascii="Calibri"/>
                <w:color w:val="1A2B40"/>
                <w:sz w:val="21"/>
                <w:szCs w:val="21"/>
              </w:rPr>
              <w:t xml:space="preserve">-3 (-30%)</w:t>
            </w:r>
          </w:p>
        </w:tc>
        <w:tc>
          <w:tcPr>
            <w:tcW w:type="pct" w:w="17%"/>
            <w:shd w:fill="E8ECEB" w:val="clear"/>
            <w:tcMar>
              <w:top w:type="dxa" w:w="50"/>
              <w:left w:type="dxa" w:w="120"/>
              <w:bottom w:type="dxa" w:w="50"/>
              <w:right w:type="dxa" w:w="120"/>
            </w:tcMar>
          </w:tcPr>
          <w:p>
            <w:r>
              <w:rPr>
                <w:rFonts w:ascii="Calibri"/>
                <w:color w:val="1A2B40"/>
                <w:sz w:val="21"/>
                <w:szCs w:val="21"/>
              </w:rPr>
              <w:t xml:space="preserve">Significant</w:t>
            </w:r>
          </w:p>
        </w:tc>
      </w:tr>
      <w:tr>
        <w:trPr>
          <w:cantSplit/>
        </w:trPr>
        <w:tc>
          <w:tcPr>
            <w:tcW w:type="pct" w:w="25%"/>
            <w:tcMar>
              <w:top w:type="dxa" w:w="50"/>
              <w:left w:type="dxa" w:w="120"/>
              <w:bottom w:type="dxa" w:w="50"/>
              <w:right w:type="dxa" w:w="120"/>
            </w:tcMar>
          </w:tcPr>
          <w:p>
            <w:r>
              <w:rPr>
                <w:rFonts w:ascii="Calibri"/>
                <w:color w:val="1A2B40"/>
                <w:sz w:val="21"/>
                <w:szCs w:val="21"/>
              </w:rPr>
              <w:t xml:space="preserve">Win Rate</w:t>
            </w:r>
          </w:p>
        </w:tc>
        <w:tc>
          <w:tcPr>
            <w:tcW w:type="pct" w:w="18%"/>
            <w:tcMar>
              <w:top w:type="dxa" w:w="50"/>
              <w:left w:type="dxa" w:w="120"/>
              <w:bottom w:type="dxa" w:w="50"/>
              <w:right w:type="dxa" w:w="120"/>
            </w:tcMar>
          </w:tcPr>
          <w:p>
            <w:r>
              <w:rPr>
                <w:rFonts w:ascii="Calibri"/>
                <w:color w:val="1A2B40"/>
                <w:sz w:val="21"/>
                <w:szCs w:val="21"/>
              </w:rPr>
              <w:t xml:space="preserve">50%</w:t>
            </w:r>
          </w:p>
        </w:tc>
        <w:tc>
          <w:tcPr>
            <w:tcW w:type="pct" w:w="18%"/>
            <w:tcMar>
              <w:top w:type="dxa" w:w="50"/>
              <w:left w:type="dxa" w:w="120"/>
              <w:bottom w:type="dxa" w:w="50"/>
              <w:right w:type="dxa" w:w="120"/>
            </w:tcMar>
          </w:tcPr>
          <w:p>
            <w:r>
              <w:rPr>
                <w:rFonts w:ascii="Calibri"/>
                <w:color w:val="1A2B40"/>
                <w:sz w:val="21"/>
                <w:szCs w:val="21"/>
              </w:rPr>
              <w:t xml:space="preserve">57%</w:t>
            </w:r>
          </w:p>
        </w:tc>
        <w:tc>
          <w:tcPr>
            <w:tcW w:type="pct" w:w="22%"/>
            <w:tcMar>
              <w:top w:type="dxa" w:w="50"/>
              <w:left w:type="dxa" w:w="120"/>
              <w:bottom w:type="dxa" w:w="50"/>
              <w:right w:type="dxa" w:w="120"/>
            </w:tcMar>
          </w:tcPr>
          <w:p>
            <w:r>
              <w:rPr>
                <w:rFonts w:ascii="Calibri"/>
                <w:color w:val="1A2B40"/>
                <w:sz w:val="21"/>
                <w:szCs w:val="21"/>
              </w:rPr>
              <w:t xml:space="preserve">+7pp</w:t>
            </w:r>
          </w:p>
        </w:tc>
        <w:tc>
          <w:tcPr>
            <w:tcW w:type="pct" w:w="17%"/>
            <w:tcMar>
              <w:top w:type="dxa" w:w="50"/>
              <w:left w:type="dxa" w:w="120"/>
              <w:bottom w:type="dxa" w:w="50"/>
              <w:right w:type="dxa" w:w="120"/>
            </w:tcMar>
          </w:tcPr>
          <w:p>
            <w:r>
              <w:rPr>
                <w:rFonts w:ascii="Calibri"/>
                <w:color w:val="1A2B40"/>
                <w:sz w:val="21"/>
                <w:szCs w:val="21"/>
              </w:rPr>
              <w:t xml:space="preserve">Improved</w:t>
            </w:r>
          </w:p>
        </w:tc>
      </w:tr>
      <w:tr>
        <w:trPr>
          <w:cantSplit/>
        </w:trPr>
        <w:tc>
          <w:tcPr>
            <w:tcW w:type="pct" w:w="25%"/>
            <w:shd w:fill="E8ECEB" w:val="clear"/>
            <w:tcMar>
              <w:top w:type="dxa" w:w="50"/>
              <w:left w:type="dxa" w:w="120"/>
              <w:bottom w:type="dxa" w:w="50"/>
              <w:right w:type="dxa" w:w="120"/>
            </w:tcMar>
          </w:tcPr>
          <w:p>
            <w:r>
              <w:rPr>
                <w:rFonts w:ascii="Calibri"/>
                <w:color w:val="1A2B40"/>
                <w:sz w:val="21"/>
                <w:szCs w:val="21"/>
              </w:rPr>
              <w:t xml:space="preserve">Avg P&amp;L / Trade</w:t>
            </w:r>
          </w:p>
        </w:tc>
        <w:tc>
          <w:tcPr>
            <w:tcW w:type="pct" w:w="18%"/>
            <w:shd w:fill="E8ECEB" w:val="clear"/>
            <w:tcMar>
              <w:top w:type="dxa" w:w="50"/>
              <w:left w:type="dxa" w:w="120"/>
              <w:bottom w:type="dxa" w:w="50"/>
              <w:right w:type="dxa" w:w="120"/>
            </w:tcMar>
          </w:tcPr>
          <w:p>
            <w:r>
              <w:rPr>
                <w:rFonts w:ascii="Calibri"/>
                <w:color w:val="1A2B40"/>
                <w:sz w:val="21"/>
                <w:szCs w:val="21"/>
              </w:rPr>
              <w:t xml:space="preserve">+26.8%</w:t>
            </w:r>
          </w:p>
        </w:tc>
        <w:tc>
          <w:tcPr>
            <w:tcW w:type="pct" w:w="18%"/>
            <w:shd w:fill="E8ECEB" w:val="clear"/>
            <w:tcMar>
              <w:top w:type="dxa" w:w="50"/>
              <w:left w:type="dxa" w:w="120"/>
              <w:bottom w:type="dxa" w:w="50"/>
              <w:right w:type="dxa" w:w="120"/>
            </w:tcMar>
          </w:tcPr>
          <w:p>
            <w:r>
              <w:rPr>
                <w:rFonts w:ascii="Calibri"/>
                <w:color w:val="1A2B40"/>
                <w:sz w:val="21"/>
                <w:szCs w:val="21"/>
              </w:rPr>
              <w:t xml:space="preserve">+8.5%</w:t>
            </w:r>
          </w:p>
        </w:tc>
        <w:tc>
          <w:tcPr>
            <w:tcW w:type="pct" w:w="22%"/>
            <w:shd w:fill="E8ECEB" w:val="clear"/>
            <w:tcMar>
              <w:top w:type="dxa" w:w="50"/>
              <w:left w:type="dxa" w:w="120"/>
              <w:bottom w:type="dxa" w:w="50"/>
              <w:right w:type="dxa" w:w="120"/>
            </w:tcMar>
          </w:tcPr>
          <w:p>
            <w:r>
              <w:rPr>
                <w:rFonts w:ascii="Calibri"/>
                <w:color w:val="1A2B40"/>
                <w:sz w:val="21"/>
                <w:szCs w:val="21"/>
              </w:rPr>
              <w:t xml:space="preserve">-18.3pp</w:t>
            </w:r>
          </w:p>
        </w:tc>
        <w:tc>
          <w:tcPr>
            <w:tcW w:type="pct" w:w="17%"/>
            <w:shd w:fill="E8ECEB" w:val="clear"/>
            <w:tcMar>
              <w:top w:type="dxa" w:w="50"/>
              <w:left w:type="dxa" w:w="120"/>
              <w:bottom w:type="dxa" w:w="50"/>
              <w:right w:type="dxa" w:w="120"/>
            </w:tcMar>
          </w:tcPr>
          <w:p>
            <w:r>
              <w:rPr>
                <w:rFonts w:ascii="Calibri"/>
                <w:color w:val="1A2B40"/>
                <w:sz w:val="21"/>
                <w:szCs w:val="21"/>
              </w:rPr>
              <w:t xml:space="preserve">Severe</w:t>
            </w:r>
          </w:p>
        </w:tc>
      </w:tr>
      <w:tr>
        <w:trPr>
          <w:cantSplit/>
        </w:trPr>
        <w:tc>
          <w:tcPr>
            <w:tcW w:type="pct" w:w="25%"/>
            <w:tcMar>
              <w:top w:type="dxa" w:w="50"/>
              <w:left w:type="dxa" w:w="120"/>
              <w:bottom w:type="dxa" w:w="50"/>
              <w:right w:type="dxa" w:w="120"/>
            </w:tcMar>
          </w:tcPr>
          <w:p>
            <w:r>
              <w:rPr>
                <w:rFonts w:ascii="Calibri"/>
                <w:color w:val="1A2B40"/>
                <w:sz w:val="21"/>
                <w:szCs w:val="21"/>
              </w:rPr>
              <w:t xml:space="preserve">Cumulative P&amp;L</w:t>
            </w:r>
          </w:p>
        </w:tc>
        <w:tc>
          <w:tcPr>
            <w:tcW w:type="pct" w:w="18%"/>
            <w:tcMar>
              <w:top w:type="dxa" w:w="50"/>
              <w:left w:type="dxa" w:w="120"/>
              <w:bottom w:type="dxa" w:w="50"/>
              <w:right w:type="dxa" w:w="120"/>
            </w:tcMar>
          </w:tcPr>
          <w:p>
            <w:r>
              <w:rPr>
                <w:rFonts w:ascii="Calibri"/>
                <w:color w:val="1A2B40"/>
                <w:sz w:val="21"/>
                <w:szCs w:val="21"/>
              </w:rPr>
              <w:t xml:space="preserve">+267.7%</w:t>
            </w:r>
          </w:p>
        </w:tc>
        <w:tc>
          <w:tcPr>
            <w:tcW w:type="pct" w:w="18%"/>
            <w:tcMar>
              <w:top w:type="dxa" w:w="50"/>
              <w:left w:type="dxa" w:w="120"/>
              <w:bottom w:type="dxa" w:w="50"/>
              <w:right w:type="dxa" w:w="120"/>
            </w:tcMar>
          </w:tcPr>
          <w:p>
            <w:r>
              <w:rPr>
                <w:rFonts w:ascii="Calibri"/>
                <w:color w:val="1A2B40"/>
                <w:sz w:val="21"/>
                <w:szCs w:val="21"/>
              </w:rPr>
              <w:t xml:space="preserve">+59.7%</w:t>
            </w:r>
          </w:p>
        </w:tc>
        <w:tc>
          <w:tcPr>
            <w:tcW w:type="pct" w:w="22%"/>
            <w:tcMar>
              <w:top w:type="dxa" w:w="50"/>
              <w:left w:type="dxa" w:w="120"/>
              <w:bottom w:type="dxa" w:w="50"/>
              <w:right w:type="dxa" w:w="120"/>
            </w:tcMar>
          </w:tcPr>
          <w:p>
            <w:r>
              <w:rPr>
                <w:rFonts w:ascii="Calibri"/>
                <w:color w:val="1A2B40"/>
                <w:sz w:val="21"/>
                <w:szCs w:val="21"/>
              </w:rPr>
              <w:t xml:space="preserve">-208pp (-77.7%)</w:t>
            </w:r>
          </w:p>
        </w:tc>
        <w:tc>
          <w:tcPr>
            <w:tcW w:type="pct" w:w="17%"/>
            <w:tcMar>
              <w:top w:type="dxa" w:w="50"/>
              <w:left w:type="dxa" w:w="120"/>
              <w:bottom w:type="dxa" w:w="50"/>
              <w:right w:type="dxa" w:w="120"/>
            </w:tcMar>
          </w:tcPr>
          <w:p>
            <w:r>
              <w:rPr>
                <w:rFonts w:ascii="Calibri"/>
                <w:color w:val="1A2B40"/>
                <w:sz w:val="21"/>
                <w:szCs w:val="21"/>
              </w:rPr>
              <w:t xml:space="preserve">Critical</w:t>
            </w:r>
          </w:p>
        </w:tc>
      </w:tr>
      <w:tr>
        <w:trPr>
          <w:cantSplit/>
        </w:trPr>
        <w:tc>
          <w:tcPr>
            <w:tcW w:type="pct" w:w="25%"/>
            <w:shd w:fill="E8ECEB" w:val="clear"/>
            <w:tcMar>
              <w:top w:type="dxa" w:w="50"/>
              <w:left w:type="dxa" w:w="120"/>
              <w:bottom w:type="dxa" w:w="50"/>
              <w:right w:type="dxa" w:w="120"/>
            </w:tcMar>
          </w:tcPr>
          <w:p>
            <w:r>
              <w:rPr>
                <w:rFonts w:ascii="Calibri"/>
                <w:color w:val="1A2B40"/>
                <w:sz w:val="21"/>
                <w:szCs w:val="21"/>
              </w:rPr>
              <w:t xml:space="preserve">Divergence Exits</w:t>
            </w:r>
          </w:p>
        </w:tc>
        <w:tc>
          <w:tcPr>
            <w:tcW w:type="pct" w:w="18%"/>
            <w:shd w:fill="E8ECEB" w:val="clear"/>
            <w:tcMar>
              <w:top w:type="dxa" w:w="50"/>
              <w:left w:type="dxa" w:w="120"/>
              <w:bottom w:type="dxa" w:w="50"/>
              <w:right w:type="dxa" w:w="120"/>
            </w:tcMar>
          </w:tcPr>
          <w:p>
            <w:r>
              <w:rPr>
                <w:rFonts w:ascii="Calibri"/>
                <w:color w:val="1A2B40"/>
                <w:sz w:val="21"/>
                <w:szCs w:val="21"/>
              </w:rPr>
              <w:t xml:space="preserve">5</w:t>
            </w:r>
          </w:p>
        </w:tc>
        <w:tc>
          <w:tcPr>
            <w:tcW w:type="pct" w:w="18%"/>
            <w:shd w:fill="E8ECEB" w:val="clear"/>
            <w:tcMar>
              <w:top w:type="dxa" w:w="50"/>
              <w:left w:type="dxa" w:w="120"/>
              <w:bottom w:type="dxa" w:w="50"/>
              <w:right w:type="dxa" w:w="120"/>
            </w:tcMar>
          </w:tcPr>
          <w:p>
            <w:r>
              <w:rPr>
                <w:rFonts w:ascii="Calibri"/>
                <w:color w:val="1A2B40"/>
                <w:sz w:val="21"/>
                <w:szCs w:val="21"/>
              </w:rPr>
              <w:t xml:space="preserve">0</w:t>
            </w:r>
          </w:p>
        </w:tc>
        <w:tc>
          <w:tcPr>
            <w:tcW w:type="pct" w:w="22%"/>
            <w:shd w:fill="E8ECEB" w:val="clear"/>
            <w:tcMar>
              <w:top w:type="dxa" w:w="50"/>
              <w:left w:type="dxa" w:w="120"/>
              <w:bottom w:type="dxa" w:w="50"/>
              <w:right w:type="dxa" w:w="120"/>
            </w:tcMar>
          </w:tcPr>
          <w:p>
            <w:r>
              <w:rPr>
                <w:rFonts w:ascii="Calibri"/>
                <w:color w:val="1A2B40"/>
                <w:sz w:val="21"/>
                <w:szCs w:val="21"/>
              </w:rPr>
              <w:t xml:space="preserve">-5</w:t>
            </w:r>
          </w:p>
        </w:tc>
        <w:tc>
          <w:tcPr>
            <w:tcW w:type="pct" w:w="17%"/>
            <w:shd w:fill="E8ECEB" w:val="clear"/>
            <w:tcMar>
              <w:top w:type="dxa" w:w="50"/>
              <w:left w:type="dxa" w:w="120"/>
              <w:bottom w:type="dxa" w:w="50"/>
              <w:right w:type="dxa" w:w="120"/>
            </w:tcMar>
          </w:tcPr>
          <w:p>
            <w:r>
              <w:rPr>
                <w:rFonts w:ascii="Calibri"/>
                <w:color w:val="1A2B40"/>
                <w:sz w:val="21"/>
                <w:szCs w:val="21"/>
              </w:rPr>
              <w:t xml:space="preserve">Significant</w:t>
            </w:r>
          </w:p>
        </w:tc>
      </w:tr>
    </w:tbl>
    <w:p>
      <w:pPr>
        <w:spacing w:after="120" w:line="312"/>
        <w:jc w:val="both"/>
      </w:pPr>
      <w:r>
        <w:rPr>
          <w:rFonts w:ascii="Calibri" w:eastAsia="Microsoft YaHei"/>
          <w:color w:val="1A2B40"/>
          <w:sz w:val="24"/>
          <w:szCs w:val="24"/>
        </w:rPr>
        <w:t xml:space="preserve">Table 1: Key Performance Indicator comparison between v6 and v7.</w:t>
      </w:r>
    </w:p>
    <w:p>
      <w:pPr>
        <w:spacing w:after="120" w:line="312"/>
        <w:ind w:firstLine="480"/>
        <w:jc w:val="both"/>
      </w:pPr>
      <w:r>
        <w:rPr>
          <w:rFonts w:ascii="Calibri" w:eastAsia="Microsoft YaHei"/>
          <w:color w:val="1A2B40"/>
          <w:sz w:val="24"/>
          <w:szCs w:val="24"/>
        </w:rPr>
        <w:t xml:space="preserve">The most critical observation is the trade count reduction from 10 to 7, combined with the loss of all five divergence exits. While the win rate improved from 50% to 57%, the average profit per trade collapsed from +26.8% to +8.5%, indicating that the v7 engine is missing the large winning trades that drove the v6 outperformance. The three missing trades from v6 included two of the three largest winners (+80.5% and +84.3%), which alone contributed +164.8% of the +267.7% total. Without these, the engine cannot approach its prior performance regardless of other improvements.</w:t>
      </w:r>
    </w:p>
    <w:p>
      <w:pPr>
        <w:pStyle w:val="Heading2"/>
        <w:spacing w:after="120" w:before="240" w:line="312"/>
      </w:pPr>
      <w:bookmarkStart w:id="100003" w:name="_Toc100003"/>
      <w:r>
        <w:rPr>
          <w:rFonts w:ascii="Calibri" w:eastAsia="SimHei"/>
          <w:b/>
          <w:bCs/>
          <w:color w:val="101820"/>
          <w:sz w:val="28"/>
          <w:szCs w:val="28"/>
        </w:rPr>
        <w:t xml:space="preserve">2.2 Classification Distribution Shift</w:t>
      </w:r>
      <w:bookmarkEnd w:id="100003"/>
    </w:p>
    <w:p>
      <w:pPr>
        <w:spacing w:after="120" w:line="312"/>
        <w:ind w:firstLine="480"/>
        <w:jc w:val="both"/>
      </w:pPr>
      <w:r>
        <w:rPr>
          <w:rFonts w:ascii="Calibri" w:eastAsia="Microsoft YaHei"/>
          <w:color w:val="1A2B40"/>
          <w:sz w:val="24"/>
          <w:szCs w:val="24"/>
        </w:rPr>
        <w:t xml:space="preserve">The classification distribution reveals the mechanism by which trades were lost. In v6, the entry threshold of 70 placed 115 days (30.5%) in the STANDARD classification, which was the primary entry zone. In v7, the threshold was raised to 75, collapsing the STANDARD category to just 50 days (13.3%). The 65 days that shifted out of STANDARD were redistributed primarily into the 50-69 band (renamed from WATCHLIST to PILOT BUY in v7), expanding it from 100 days (26.5%) to 194 days (51.5%). This means that more than half of all trading days now fall into the non-entry observation zone, effectively starving the trade extraction logic of entry candidates.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gridCol w:w="100"/>
      </w:tblGrid>
      <w:tr>
        <w:trPr>
          <w:cantSplit/>
          <w:tblHeader/>
        </w:trPr>
        <w:tc>
          <w:tcPr>
            <w:tcW w:type="pct" w:w="28%"/>
            <w:shd w:fill="529286" w:val="clear"/>
            <w:tcMar>
              <w:top w:type="dxa" w:w="60"/>
              <w:left w:type="dxa" w:w="120"/>
              <w:bottom w:type="dxa" w:w="60"/>
              <w:right w:type="dxa" w:w="120"/>
            </w:tcMar>
          </w:tcPr>
          <w:p>
            <w:r>
              <w:rPr>
                <w:rFonts w:ascii="Calibri"/>
                <w:b/>
                <w:bCs/>
                <w:color w:val="FFFFFF"/>
                <w:sz w:val="21"/>
                <w:szCs w:val="21"/>
              </w:rPr>
              <w:t xml:space="preserve">Classification</w:t>
            </w:r>
          </w:p>
        </w:tc>
        <w:tc>
          <w:tcPr>
            <w:tcW w:type="pct" w:w="14%"/>
            <w:shd w:fill="529286" w:val="clear"/>
            <w:tcMar>
              <w:top w:type="dxa" w:w="60"/>
              <w:left w:type="dxa" w:w="120"/>
              <w:bottom w:type="dxa" w:w="60"/>
              <w:right w:type="dxa" w:w="120"/>
            </w:tcMar>
          </w:tcPr>
          <w:p>
            <w:r>
              <w:rPr>
                <w:rFonts w:ascii="Calibri"/>
                <w:b/>
                <w:bCs/>
                <w:color w:val="FFFFFF"/>
                <w:sz w:val="21"/>
                <w:szCs w:val="21"/>
              </w:rPr>
              <w:t xml:space="preserve">v6 Days</w:t>
            </w:r>
          </w:p>
        </w:tc>
        <w:tc>
          <w:tcPr>
            <w:tcW w:type="pct" w:w="12%"/>
            <w:shd w:fill="529286" w:val="clear"/>
            <w:tcMar>
              <w:top w:type="dxa" w:w="60"/>
              <w:left w:type="dxa" w:w="120"/>
              <w:bottom w:type="dxa" w:w="60"/>
              <w:right w:type="dxa" w:w="120"/>
            </w:tcMar>
          </w:tcPr>
          <w:p>
            <w:r>
              <w:rPr>
                <w:rFonts w:ascii="Calibri"/>
                <w:b/>
                <w:bCs/>
                <w:color w:val="FFFFFF"/>
                <w:sz w:val="21"/>
                <w:szCs w:val="21"/>
              </w:rPr>
              <w:t xml:space="preserve">v6 %</w:t>
            </w:r>
          </w:p>
        </w:tc>
        <w:tc>
          <w:tcPr>
            <w:tcW w:type="pct" w:w="14%"/>
            <w:shd w:fill="529286" w:val="clear"/>
            <w:tcMar>
              <w:top w:type="dxa" w:w="60"/>
              <w:left w:type="dxa" w:w="120"/>
              <w:bottom w:type="dxa" w:w="60"/>
              <w:right w:type="dxa" w:w="120"/>
            </w:tcMar>
          </w:tcPr>
          <w:p>
            <w:r>
              <w:rPr>
                <w:rFonts w:ascii="Calibri"/>
                <w:b/>
                <w:bCs/>
                <w:color w:val="FFFFFF"/>
                <w:sz w:val="21"/>
                <w:szCs w:val="21"/>
              </w:rPr>
              <w:t xml:space="preserve">v7 Days</w:t>
            </w:r>
          </w:p>
        </w:tc>
        <w:tc>
          <w:tcPr>
            <w:tcW w:type="pct" w:w="12%"/>
            <w:shd w:fill="529286" w:val="clear"/>
            <w:tcMar>
              <w:top w:type="dxa" w:w="60"/>
              <w:left w:type="dxa" w:w="120"/>
              <w:bottom w:type="dxa" w:w="60"/>
              <w:right w:type="dxa" w:w="120"/>
            </w:tcMar>
          </w:tcPr>
          <w:p>
            <w:r>
              <w:rPr>
                <w:rFonts w:ascii="Calibri"/>
                <w:b/>
                <w:bCs/>
                <w:color w:val="FFFFFF"/>
                <w:sz w:val="21"/>
                <w:szCs w:val="21"/>
              </w:rPr>
              <w:t xml:space="preserve">v7 %</w:t>
            </w:r>
          </w:p>
        </w:tc>
        <w:tc>
          <w:tcPr>
            <w:tcW w:type="pct" w:w="20%"/>
            <w:shd w:fill="529286" w:val="clear"/>
            <w:tcMar>
              <w:top w:type="dxa" w:w="60"/>
              <w:left w:type="dxa" w:w="120"/>
              <w:bottom w:type="dxa" w:w="60"/>
              <w:right w:type="dxa" w:w="120"/>
            </w:tcMar>
          </w:tcPr>
          <w:p>
            <w:r>
              <w:rPr>
                <w:rFonts w:ascii="Calibri"/>
                <w:b/>
                <w:bCs/>
                <w:color w:val="FFFFFF"/>
                <w:sz w:val="21"/>
                <w:szCs w:val="21"/>
              </w:rPr>
              <w:t xml:space="preserve">Delta</w:t>
            </w:r>
          </w:p>
        </w:tc>
      </w:tr>
      <w:tr>
        <w:trPr>
          <w:cantSplit/>
        </w:trPr>
        <w:tc>
          <w:tcPr>
            <w:tcW w:type="pct" w:w="28%"/>
            <w:tcMar>
              <w:top w:type="dxa" w:w="50"/>
              <w:left w:type="dxa" w:w="120"/>
              <w:bottom w:type="dxa" w:w="50"/>
              <w:right w:type="dxa" w:w="120"/>
            </w:tcMar>
          </w:tcPr>
          <w:p>
            <w:r>
              <w:rPr>
                <w:rFonts w:ascii="Calibri"/>
                <w:color w:val="1A2B40"/>
                <w:sz w:val="21"/>
                <w:szCs w:val="21"/>
              </w:rPr>
              <w:t xml:space="preserve">DO NOT ENTER (&lt;50)</w:t>
            </w:r>
          </w:p>
        </w:tc>
        <w:tc>
          <w:tcPr>
            <w:tcW w:type="pct" w:w="14%"/>
            <w:tcMar>
              <w:top w:type="dxa" w:w="50"/>
              <w:left w:type="dxa" w:w="120"/>
              <w:bottom w:type="dxa" w:w="50"/>
              <w:right w:type="dxa" w:w="120"/>
            </w:tcMar>
          </w:tcPr>
          <w:p>
            <w:r>
              <w:rPr>
                <w:rFonts w:ascii="Calibri"/>
                <w:color w:val="1A2B40"/>
                <w:sz w:val="21"/>
                <w:szCs w:val="21"/>
              </w:rPr>
              <w:t xml:space="preserve">103</w:t>
            </w:r>
          </w:p>
        </w:tc>
        <w:tc>
          <w:tcPr>
            <w:tcW w:type="pct" w:w="12%"/>
            <w:tcMar>
              <w:top w:type="dxa" w:w="50"/>
              <w:left w:type="dxa" w:w="120"/>
              <w:bottom w:type="dxa" w:w="50"/>
              <w:right w:type="dxa" w:w="120"/>
            </w:tcMar>
          </w:tcPr>
          <w:p>
            <w:r>
              <w:rPr>
                <w:rFonts w:ascii="Calibri"/>
                <w:color w:val="1A2B40"/>
                <w:sz w:val="21"/>
                <w:szCs w:val="21"/>
              </w:rPr>
              <w:t xml:space="preserve">27.3%</w:t>
            </w:r>
          </w:p>
        </w:tc>
        <w:tc>
          <w:tcPr>
            <w:tcW w:type="pct" w:w="14%"/>
            <w:tcMar>
              <w:top w:type="dxa" w:w="50"/>
              <w:left w:type="dxa" w:w="120"/>
              <w:bottom w:type="dxa" w:w="50"/>
              <w:right w:type="dxa" w:w="120"/>
            </w:tcMar>
          </w:tcPr>
          <w:p>
            <w:r>
              <w:rPr>
                <w:rFonts w:ascii="Calibri"/>
                <w:color w:val="1A2B40"/>
                <w:sz w:val="21"/>
                <w:szCs w:val="21"/>
              </w:rPr>
              <w:t xml:space="preserve">111</w:t>
            </w:r>
          </w:p>
        </w:tc>
        <w:tc>
          <w:tcPr>
            <w:tcW w:type="pct" w:w="12%"/>
            <w:tcMar>
              <w:top w:type="dxa" w:w="50"/>
              <w:left w:type="dxa" w:w="120"/>
              <w:bottom w:type="dxa" w:w="50"/>
              <w:right w:type="dxa" w:w="120"/>
            </w:tcMar>
          </w:tcPr>
          <w:p>
            <w:r>
              <w:rPr>
                <w:rFonts w:ascii="Calibri"/>
                <w:color w:val="1A2B40"/>
                <w:sz w:val="21"/>
                <w:szCs w:val="21"/>
              </w:rPr>
              <w:t xml:space="preserve">29.4%</w:t>
            </w:r>
          </w:p>
        </w:tc>
        <w:tc>
          <w:tcPr>
            <w:tcW w:type="pct" w:w="20%"/>
            <w:tcMar>
              <w:top w:type="dxa" w:w="50"/>
              <w:left w:type="dxa" w:w="120"/>
              <w:bottom w:type="dxa" w:w="50"/>
              <w:right w:type="dxa" w:w="120"/>
            </w:tcMar>
          </w:tcPr>
          <w:p>
            <w:r>
              <w:rPr>
                <w:rFonts w:ascii="Calibri"/>
                <w:color w:val="1A2B40"/>
                <w:sz w:val="21"/>
                <w:szCs w:val="21"/>
              </w:rPr>
              <w:t xml:space="preserve">+8</w:t>
            </w:r>
          </w:p>
        </w:tc>
      </w:tr>
      <w:tr>
        <w:trPr>
          <w:cantSplit/>
        </w:trPr>
        <w:tc>
          <w:tcPr>
            <w:tcW w:type="pct" w:w="28%"/>
            <w:shd w:fill="E8ECEB" w:val="clear"/>
            <w:tcMar>
              <w:top w:type="dxa" w:w="50"/>
              <w:left w:type="dxa" w:w="120"/>
              <w:bottom w:type="dxa" w:w="50"/>
              <w:right w:type="dxa" w:w="120"/>
            </w:tcMar>
          </w:tcPr>
          <w:p>
            <w:r>
              <w:rPr>
                <w:rFonts w:ascii="Calibri"/>
                <w:color w:val="1A2B40"/>
                <w:sz w:val="21"/>
                <w:szCs w:val="21"/>
              </w:rPr>
              <w:t xml:space="preserve">WATCHLIST / PILOT (50-69)</w:t>
            </w:r>
          </w:p>
        </w:tc>
        <w:tc>
          <w:tcPr>
            <w:tcW w:type="pct" w:w="14%"/>
            <w:shd w:fill="E8ECEB" w:val="clear"/>
            <w:tcMar>
              <w:top w:type="dxa" w:w="50"/>
              <w:left w:type="dxa" w:w="120"/>
              <w:bottom w:type="dxa" w:w="50"/>
              <w:right w:type="dxa" w:w="120"/>
            </w:tcMar>
          </w:tcPr>
          <w:p>
            <w:r>
              <w:rPr>
                <w:rFonts w:ascii="Calibri"/>
                <w:color w:val="1A2B40"/>
                <w:sz w:val="21"/>
                <w:szCs w:val="21"/>
              </w:rPr>
              <w:t xml:space="preserve">100</w:t>
            </w:r>
          </w:p>
        </w:tc>
        <w:tc>
          <w:tcPr>
            <w:tcW w:type="pct" w:w="12%"/>
            <w:shd w:fill="E8ECEB" w:val="clear"/>
            <w:tcMar>
              <w:top w:type="dxa" w:w="50"/>
              <w:left w:type="dxa" w:w="120"/>
              <w:bottom w:type="dxa" w:w="50"/>
              <w:right w:type="dxa" w:w="120"/>
            </w:tcMar>
          </w:tcPr>
          <w:p>
            <w:r>
              <w:rPr>
                <w:rFonts w:ascii="Calibri"/>
                <w:color w:val="1A2B40"/>
                <w:sz w:val="21"/>
                <w:szCs w:val="21"/>
              </w:rPr>
              <w:t xml:space="preserve">26.5%</w:t>
            </w:r>
          </w:p>
        </w:tc>
        <w:tc>
          <w:tcPr>
            <w:tcW w:type="pct" w:w="14%"/>
            <w:shd w:fill="E8ECEB" w:val="clear"/>
            <w:tcMar>
              <w:top w:type="dxa" w:w="50"/>
              <w:left w:type="dxa" w:w="120"/>
              <w:bottom w:type="dxa" w:w="50"/>
              <w:right w:type="dxa" w:w="120"/>
            </w:tcMar>
          </w:tcPr>
          <w:p>
            <w:r>
              <w:rPr>
                <w:rFonts w:ascii="Calibri"/>
                <w:color w:val="1A2B40"/>
                <w:sz w:val="21"/>
                <w:szCs w:val="21"/>
              </w:rPr>
              <w:t xml:space="preserve">194</w:t>
            </w:r>
          </w:p>
        </w:tc>
        <w:tc>
          <w:tcPr>
            <w:tcW w:type="pct" w:w="12%"/>
            <w:shd w:fill="E8ECEB" w:val="clear"/>
            <w:tcMar>
              <w:top w:type="dxa" w:w="50"/>
              <w:left w:type="dxa" w:w="120"/>
              <w:bottom w:type="dxa" w:w="50"/>
              <w:right w:type="dxa" w:w="120"/>
            </w:tcMar>
          </w:tcPr>
          <w:p>
            <w:r>
              <w:rPr>
                <w:rFonts w:ascii="Calibri"/>
                <w:color w:val="1A2B40"/>
                <w:sz w:val="21"/>
                <w:szCs w:val="21"/>
              </w:rPr>
              <w:t xml:space="preserve">51.5%</w:t>
            </w:r>
          </w:p>
        </w:tc>
        <w:tc>
          <w:tcPr>
            <w:tcW w:type="pct" w:w="20%"/>
            <w:shd w:fill="E8ECEB" w:val="clear"/>
            <w:tcMar>
              <w:top w:type="dxa" w:w="50"/>
              <w:left w:type="dxa" w:w="120"/>
              <w:bottom w:type="dxa" w:w="50"/>
              <w:right w:type="dxa" w:w="120"/>
            </w:tcMar>
          </w:tcPr>
          <w:p>
            <w:r>
              <w:rPr>
                <w:rFonts w:ascii="Calibri"/>
                <w:color w:val="1A2B40"/>
                <w:sz w:val="21"/>
                <w:szCs w:val="21"/>
              </w:rPr>
              <w:t xml:space="preserve">+94</w:t>
            </w:r>
          </w:p>
        </w:tc>
      </w:tr>
      <w:tr>
        <w:trPr>
          <w:cantSplit/>
        </w:trPr>
        <w:tc>
          <w:tcPr>
            <w:tcW w:type="pct" w:w="28%"/>
            <w:tcMar>
              <w:top w:type="dxa" w:w="50"/>
              <w:left w:type="dxa" w:w="120"/>
              <w:bottom w:type="dxa" w:w="50"/>
              <w:right w:type="dxa" w:w="120"/>
            </w:tcMar>
          </w:tcPr>
          <w:p>
            <w:r>
              <w:rPr>
                <w:rFonts w:ascii="Calibri"/>
                <w:color w:val="1A2B40"/>
                <w:sz w:val="21"/>
                <w:szCs w:val="21"/>
              </w:rPr>
              <w:t xml:space="preserve">STANDARD (70-79)</w:t>
            </w:r>
          </w:p>
        </w:tc>
        <w:tc>
          <w:tcPr>
            <w:tcW w:type="pct" w:w="14%"/>
            <w:tcMar>
              <w:top w:type="dxa" w:w="50"/>
              <w:left w:type="dxa" w:w="120"/>
              <w:bottom w:type="dxa" w:w="50"/>
              <w:right w:type="dxa" w:w="120"/>
            </w:tcMar>
          </w:tcPr>
          <w:p>
            <w:r>
              <w:rPr>
                <w:rFonts w:ascii="Calibri"/>
                <w:color w:val="1A2B40"/>
                <w:sz w:val="21"/>
                <w:szCs w:val="21"/>
              </w:rPr>
              <w:t xml:space="preserve">115</w:t>
            </w:r>
          </w:p>
        </w:tc>
        <w:tc>
          <w:tcPr>
            <w:tcW w:type="pct" w:w="12%"/>
            <w:tcMar>
              <w:top w:type="dxa" w:w="50"/>
              <w:left w:type="dxa" w:w="120"/>
              <w:bottom w:type="dxa" w:w="50"/>
              <w:right w:type="dxa" w:w="120"/>
            </w:tcMar>
          </w:tcPr>
          <w:p>
            <w:r>
              <w:rPr>
                <w:rFonts w:ascii="Calibri"/>
                <w:color w:val="1A2B40"/>
                <w:sz w:val="21"/>
                <w:szCs w:val="21"/>
              </w:rPr>
              <w:t xml:space="preserve">30.5%</w:t>
            </w:r>
          </w:p>
        </w:tc>
        <w:tc>
          <w:tcPr>
            <w:tcW w:type="pct" w:w="14%"/>
            <w:tcMar>
              <w:top w:type="dxa" w:w="50"/>
              <w:left w:type="dxa" w:w="120"/>
              <w:bottom w:type="dxa" w:w="50"/>
              <w:right w:type="dxa" w:w="120"/>
            </w:tcMar>
          </w:tcPr>
          <w:p>
            <w:r>
              <w:rPr>
                <w:rFonts w:ascii="Calibri"/>
                <w:color w:val="1A2B40"/>
                <w:sz w:val="21"/>
                <w:szCs w:val="21"/>
              </w:rPr>
              <w:t xml:space="preserve">50</w:t>
            </w:r>
          </w:p>
        </w:tc>
        <w:tc>
          <w:tcPr>
            <w:tcW w:type="pct" w:w="12%"/>
            <w:tcMar>
              <w:top w:type="dxa" w:w="50"/>
              <w:left w:type="dxa" w:w="120"/>
              <w:bottom w:type="dxa" w:w="50"/>
              <w:right w:type="dxa" w:w="120"/>
            </w:tcMar>
          </w:tcPr>
          <w:p>
            <w:r>
              <w:rPr>
                <w:rFonts w:ascii="Calibri"/>
                <w:color w:val="1A2B40"/>
                <w:sz w:val="21"/>
                <w:szCs w:val="21"/>
              </w:rPr>
              <w:t xml:space="preserve">13.3%</w:t>
            </w:r>
          </w:p>
        </w:tc>
        <w:tc>
          <w:tcPr>
            <w:tcW w:type="pct" w:w="20%"/>
            <w:tcMar>
              <w:top w:type="dxa" w:w="50"/>
              <w:left w:type="dxa" w:w="120"/>
              <w:bottom w:type="dxa" w:w="50"/>
              <w:right w:type="dxa" w:w="120"/>
            </w:tcMar>
          </w:tcPr>
          <w:p>
            <w:r>
              <w:rPr>
                <w:rFonts w:ascii="Calibri"/>
                <w:color w:val="1A2B40"/>
                <w:sz w:val="21"/>
                <w:szCs w:val="21"/>
              </w:rPr>
              <w:t xml:space="preserve">-65</w:t>
            </w:r>
          </w:p>
        </w:tc>
      </w:tr>
      <w:tr>
        <w:trPr>
          <w:cantSplit/>
        </w:trPr>
        <w:tc>
          <w:tcPr>
            <w:tcW w:type="pct" w:w="28%"/>
            <w:shd w:fill="E8ECEB" w:val="clear"/>
            <w:tcMar>
              <w:top w:type="dxa" w:w="50"/>
              <w:left w:type="dxa" w:w="120"/>
              <w:bottom w:type="dxa" w:w="50"/>
              <w:right w:type="dxa" w:w="120"/>
            </w:tcMar>
          </w:tcPr>
          <w:p>
            <w:r>
              <w:rPr>
                <w:rFonts w:ascii="Calibri"/>
                <w:color w:val="1A2B40"/>
                <w:sz w:val="21"/>
                <w:szCs w:val="21"/>
              </w:rPr>
              <w:t xml:space="preserve">FULL ENTRY (80-89)</w:t>
            </w:r>
          </w:p>
        </w:tc>
        <w:tc>
          <w:tcPr>
            <w:tcW w:type="pct" w:w="14%"/>
            <w:shd w:fill="E8ECEB" w:val="clear"/>
            <w:tcMar>
              <w:top w:type="dxa" w:w="50"/>
              <w:left w:type="dxa" w:w="120"/>
              <w:bottom w:type="dxa" w:w="50"/>
              <w:right w:type="dxa" w:w="120"/>
            </w:tcMar>
          </w:tcPr>
          <w:p>
            <w:r>
              <w:rPr>
                <w:rFonts w:ascii="Calibri"/>
                <w:color w:val="1A2B40"/>
                <w:sz w:val="21"/>
                <w:szCs w:val="21"/>
              </w:rPr>
              <w:t xml:space="preserve">50</w:t>
            </w:r>
          </w:p>
        </w:tc>
        <w:tc>
          <w:tcPr>
            <w:tcW w:type="pct" w:w="12%"/>
            <w:shd w:fill="E8ECEB" w:val="clear"/>
            <w:tcMar>
              <w:top w:type="dxa" w:w="50"/>
              <w:left w:type="dxa" w:w="120"/>
              <w:bottom w:type="dxa" w:w="50"/>
              <w:right w:type="dxa" w:w="120"/>
            </w:tcMar>
          </w:tcPr>
          <w:p>
            <w:r>
              <w:rPr>
                <w:rFonts w:ascii="Calibri"/>
                <w:color w:val="1A2B40"/>
                <w:sz w:val="21"/>
                <w:szCs w:val="21"/>
              </w:rPr>
              <w:t xml:space="preserve">13.3%</w:t>
            </w:r>
          </w:p>
        </w:tc>
        <w:tc>
          <w:tcPr>
            <w:tcW w:type="pct" w:w="14%"/>
            <w:shd w:fill="E8ECEB" w:val="clear"/>
            <w:tcMar>
              <w:top w:type="dxa" w:w="50"/>
              <w:left w:type="dxa" w:w="120"/>
              <w:bottom w:type="dxa" w:w="50"/>
              <w:right w:type="dxa" w:w="120"/>
            </w:tcMar>
          </w:tcPr>
          <w:p>
            <w:r>
              <w:rPr>
                <w:rFonts w:ascii="Calibri"/>
                <w:color w:val="1A2B40"/>
                <w:sz w:val="21"/>
                <w:szCs w:val="21"/>
              </w:rPr>
              <w:t xml:space="preserve">14</w:t>
            </w:r>
          </w:p>
        </w:tc>
        <w:tc>
          <w:tcPr>
            <w:tcW w:type="pct" w:w="12%"/>
            <w:shd w:fill="E8ECEB" w:val="clear"/>
            <w:tcMar>
              <w:top w:type="dxa" w:w="50"/>
              <w:left w:type="dxa" w:w="120"/>
              <w:bottom w:type="dxa" w:w="50"/>
              <w:right w:type="dxa" w:w="120"/>
            </w:tcMar>
          </w:tcPr>
          <w:p>
            <w:r>
              <w:rPr>
                <w:rFonts w:ascii="Calibri"/>
                <w:color w:val="1A2B40"/>
                <w:sz w:val="21"/>
                <w:szCs w:val="21"/>
              </w:rPr>
              <w:t xml:space="preserve">3.7%</w:t>
            </w:r>
          </w:p>
        </w:tc>
        <w:tc>
          <w:tcPr>
            <w:tcW w:type="pct" w:w="20%"/>
            <w:shd w:fill="E8ECEB" w:val="clear"/>
            <w:tcMar>
              <w:top w:type="dxa" w:w="50"/>
              <w:left w:type="dxa" w:w="120"/>
              <w:bottom w:type="dxa" w:w="50"/>
              <w:right w:type="dxa" w:w="120"/>
            </w:tcMar>
          </w:tcPr>
          <w:p>
            <w:r>
              <w:rPr>
                <w:rFonts w:ascii="Calibri"/>
                <w:color w:val="1A2B40"/>
                <w:sz w:val="21"/>
                <w:szCs w:val="21"/>
              </w:rPr>
              <w:t xml:space="preserve">-36</w:t>
            </w:r>
          </w:p>
        </w:tc>
      </w:tr>
      <w:tr>
        <w:trPr>
          <w:cantSplit/>
        </w:trPr>
        <w:tc>
          <w:tcPr>
            <w:tcW w:type="pct" w:w="28%"/>
            <w:tcMar>
              <w:top w:type="dxa" w:w="50"/>
              <w:left w:type="dxa" w:w="120"/>
              <w:bottom w:type="dxa" w:w="50"/>
              <w:right w:type="dxa" w:w="120"/>
            </w:tcMar>
          </w:tcPr>
          <w:p>
            <w:r>
              <w:rPr>
                <w:rFonts w:ascii="Calibri"/>
                <w:color w:val="1A2B40"/>
                <w:sz w:val="21"/>
                <w:szCs w:val="21"/>
              </w:rPr>
              <w:t xml:space="preserve">FULL STRONG (90+)</w:t>
            </w:r>
          </w:p>
        </w:tc>
        <w:tc>
          <w:tcPr>
            <w:tcW w:type="pct" w:w="14%"/>
            <w:tcMar>
              <w:top w:type="dxa" w:w="50"/>
              <w:left w:type="dxa" w:w="120"/>
              <w:bottom w:type="dxa" w:w="50"/>
              <w:right w:type="dxa" w:w="120"/>
            </w:tcMar>
          </w:tcPr>
          <w:p>
            <w:r>
              <w:rPr>
                <w:rFonts w:ascii="Calibri"/>
                <w:color w:val="1A2B40"/>
                <w:sz w:val="21"/>
                <w:szCs w:val="21"/>
              </w:rPr>
              <w:t xml:space="preserve">9</w:t>
            </w:r>
          </w:p>
        </w:tc>
        <w:tc>
          <w:tcPr>
            <w:tcW w:type="pct" w:w="12%"/>
            <w:tcMar>
              <w:top w:type="dxa" w:w="50"/>
              <w:left w:type="dxa" w:w="120"/>
              <w:bottom w:type="dxa" w:w="50"/>
              <w:right w:type="dxa" w:w="120"/>
            </w:tcMar>
          </w:tcPr>
          <w:p>
            <w:r>
              <w:rPr>
                <w:rFonts w:ascii="Calibri"/>
                <w:color w:val="1A2B40"/>
                <w:sz w:val="21"/>
                <w:szCs w:val="21"/>
              </w:rPr>
              <w:t xml:space="preserve">2.4%</w:t>
            </w:r>
          </w:p>
        </w:tc>
        <w:tc>
          <w:tcPr>
            <w:tcW w:type="pct" w:w="14%"/>
            <w:tcMar>
              <w:top w:type="dxa" w:w="50"/>
              <w:left w:type="dxa" w:w="120"/>
              <w:bottom w:type="dxa" w:w="50"/>
              <w:right w:type="dxa" w:w="120"/>
            </w:tcMar>
          </w:tcPr>
          <w:p>
            <w:r>
              <w:rPr>
                <w:rFonts w:ascii="Calibri"/>
                <w:color w:val="1A2B40"/>
                <w:sz w:val="21"/>
                <w:szCs w:val="21"/>
              </w:rPr>
              <w:t xml:space="preserve">8</w:t>
            </w:r>
          </w:p>
        </w:tc>
        <w:tc>
          <w:tcPr>
            <w:tcW w:type="pct" w:w="12%"/>
            <w:tcMar>
              <w:top w:type="dxa" w:w="50"/>
              <w:left w:type="dxa" w:w="120"/>
              <w:bottom w:type="dxa" w:w="50"/>
              <w:right w:type="dxa" w:w="120"/>
            </w:tcMar>
          </w:tcPr>
          <w:p>
            <w:r>
              <w:rPr>
                <w:rFonts w:ascii="Calibri"/>
                <w:color w:val="1A2B40"/>
                <w:sz w:val="21"/>
                <w:szCs w:val="21"/>
              </w:rPr>
              <w:t xml:space="preserve">2.1%</w:t>
            </w:r>
          </w:p>
        </w:tc>
        <w:tc>
          <w:tcPr>
            <w:tcW w:type="pct" w:w="20%"/>
            <w:tcMar>
              <w:top w:type="dxa" w:w="50"/>
              <w:left w:type="dxa" w:w="120"/>
              <w:bottom w:type="dxa" w:w="50"/>
              <w:right w:type="dxa" w:w="120"/>
            </w:tcMar>
          </w:tcPr>
          <w:p>
            <w:r>
              <w:rPr>
                <w:rFonts w:ascii="Calibri"/>
                <w:color w:val="1A2B40"/>
                <w:sz w:val="21"/>
                <w:szCs w:val="21"/>
              </w:rPr>
              <w:t xml:space="preserve">-1</w:t>
            </w:r>
          </w:p>
        </w:tc>
      </w:tr>
    </w:tbl>
    <w:p>
      <w:pPr>
        <w:spacing w:after="120" w:line="312"/>
        <w:jc w:val="both"/>
      </w:pPr>
      <w:r>
        <w:rPr>
          <w:rFonts w:ascii="Calibri" w:eastAsia="Microsoft YaHei"/>
          <w:color w:val="1A2B40"/>
          <w:sz w:val="24"/>
          <w:szCs w:val="24"/>
        </w:rPr>
        <w:t xml:space="preserve">Table 2: Classification distribution comparison showing the shift from STANDARD to PILOT BUY.</w:t>
      </w:r>
    </w:p>
    <w:p>
      <w:pPr>
        <w:spacing w:after="120" w:line="312"/>
        <w:ind w:firstLine="480"/>
        <w:jc w:val="both"/>
      </w:pPr>
      <w:r>
        <w:rPr>
          <w:rFonts w:ascii="Calibri" w:eastAsia="Microsoft YaHei"/>
          <w:color w:val="1A2B40"/>
          <w:sz w:val="24"/>
          <w:szCs w:val="24"/>
        </w:rPr>
        <w:t xml:space="preserve">The near-disappearance of FULL ENTRY days (50 to 14) is particularly noteworthy. In v6, 13.3% of days scored 80 or above, providing ample opportunity for full-position entries. In v7, only 3.7% of days reach that level. This compression is almost entirely attributable to the Bonus C collapse described in Section 3, which removed approximately 5 points from the average daily total score and pushed scores that were previously 75-80 down into the 70-74 range or below the 75 threshold entirely.</w:t>
      </w:r>
    </w:p>
    <w:p>
      <w:pPr>
        <w:pStyle w:val="Heading1"/>
        <w:spacing w:after="160" w:before="360" w:line="312"/>
      </w:pPr>
      <w:bookmarkStart w:id="100004" w:name="_Toc100004"/>
      <w:r>
        <w:rPr>
          <w:rFonts w:ascii="Calibri" w:eastAsia="SimHei"/>
          <w:b/>
          <w:bCs/>
          <w:color w:val="101820"/>
          <w:sz w:val="32"/>
          <w:szCs w:val="32"/>
        </w:rPr>
        <w:t xml:space="preserve">3. Root Cause Analysis</w:t>
      </w:r>
      <w:bookmarkEnd w:id="100004"/>
    </w:p>
    <w:p>
      <w:pPr>
        <w:pStyle w:val="Heading2"/>
        <w:spacing w:after="120" w:before="240" w:line="312"/>
      </w:pPr>
      <w:bookmarkStart w:id="100005" w:name="_Toc100005"/>
      <w:r>
        <w:rPr>
          <w:rFonts w:ascii="Calibri" w:eastAsia="SimHei"/>
          <w:b/>
          <w:bCs/>
          <w:color w:val="101820"/>
          <w:sz w:val="28"/>
          <w:szCs w:val="28"/>
        </w:rPr>
        <w:t xml:space="preserve">3.1 Primary Cause: Bonus C Time Decay (Impact: ~120-150 P&amp;L points)</w:t>
      </w:r>
      <w:bookmarkEnd w:id="100005"/>
    </w:p>
    <w:p>
      <w:pPr>
        <w:spacing w:after="120" w:line="312"/>
        <w:ind w:firstLine="480"/>
        <w:jc w:val="both"/>
      </w:pPr>
      <w:r>
        <w:rPr>
          <w:rFonts w:ascii="Calibri" w:eastAsia="Microsoft YaHei"/>
          <w:color w:val="1A2B40"/>
          <w:sz w:val="24"/>
          <w:szCs w:val="24"/>
        </w:rPr>
        <w:t xml:space="preserve">The single largest contributor to the P&amp;L regression is the BC1 (ADX &gt; -DI) and BC2 (MACD &gt; 0) signal behavior change. In v6, these two Bonus C signals operated as binary on/off conditions: if ADX exceeded negative DI on a given day, BC1 fired for its full 2.5 points; if MACD was positive, BC2 fired for 2.5 points. This produced hit rates of 60% and 54% respectively across all 377 trading days, contributing a combined 1,077.5 total points (565 + 512.5) and an average of 2.9 Bonus C points per day, representing 57% utilization of the 5-point Bonus C pool.</w:t>
      </w:r>
    </w:p>
    <w:p>
      <w:pPr>
        <w:spacing w:after="120" w:line="312"/>
        <w:ind w:firstLine="480"/>
        <w:jc w:val="both"/>
      </w:pPr>
      <w:r>
        <w:rPr>
          <w:rFonts w:ascii="Calibri" w:eastAsia="Microsoft YaHei"/>
          <w:color w:val="1A2B40"/>
          <w:sz w:val="24"/>
          <w:szCs w:val="24"/>
        </w:rPr>
        <w:t xml:space="preserve">In v7, the audit specification introduced a 5-bar time decay to both signals. Under this mechanism, signals only fire at full strength (2.5 pts) on the first day of a qualifying condition, then decay linearly to zero over the next 5 bars. If the condition remains true after 5 bars, the signal re-fires at full strength and decays again. This dramatically reduced the effective hit rates to 9.0% for BC1 and 8.0% for BC2, with total points dropping to approximately 160 combined. The average daily Bonus C contribution collapsed from 2.9 to just 0.4 points, an 86% reduction in Bonus C output.</w:t>
      </w:r>
    </w:p>
    <w:p>
      <w:pPr>
        <w:spacing w:after="120" w:line="312"/>
        <w:ind w:firstLine="480"/>
        <w:jc w:val="both"/>
      </w:pPr>
      <w:r>
        <w:rPr>
          <w:rFonts w:ascii="Calibri" w:eastAsia="Microsoft YaHei"/>
          <w:color w:val="1A2B40"/>
          <w:sz w:val="24"/>
          <w:szCs w:val="24"/>
        </w:rPr>
        <w:t xml:space="preserve">The knock-on effects of this change cascade through the entire system. With 2.5 fewer points on average, total daily scores dropped, pushing days from STANDARD to PILOT BUY. The 5-point bonus also meant that many days that previously scored 75+ (qualifying for entry) now scored 70-74 and were blocked. Three of the ten v6 trade entries had scores between 70 and 75 that would have been boosted above 75 by the old always-on Bonus C behavior. Without that boost, these entries were never triggered, and the associated large wins (+80.5%, +84.3%, +110.9%) were never captured.</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rFonts w:ascii="Calibri"/>
                <w:b/>
                <w:bCs/>
                <w:color w:val="FFFFFF"/>
                <w:sz w:val="21"/>
                <w:szCs w:val="21"/>
              </w:rPr>
              <w:t xml:space="preserve">Signal</w:t>
            </w:r>
          </w:p>
        </w:tc>
        <w:tc>
          <w:tcPr>
            <w:tcW w:type="pct" w:w="15%"/>
            <w:shd w:fill="529286" w:val="clear"/>
            <w:tcMar>
              <w:top w:type="dxa" w:w="60"/>
              <w:left w:type="dxa" w:w="120"/>
              <w:bottom w:type="dxa" w:w="60"/>
              <w:right w:type="dxa" w:w="120"/>
            </w:tcMar>
          </w:tcPr>
          <w:p>
            <w:r>
              <w:rPr>
                <w:rFonts w:ascii="Calibri"/>
                <w:b/>
                <w:bCs/>
                <w:color w:val="FFFFFF"/>
                <w:sz w:val="21"/>
                <w:szCs w:val="21"/>
              </w:rPr>
              <w:t xml:space="preserve">v6 Hit Rate</w:t>
            </w:r>
          </w:p>
        </w:tc>
        <w:tc>
          <w:tcPr>
            <w:tcW w:type="pct" w:w="15%"/>
            <w:shd w:fill="529286" w:val="clear"/>
            <w:tcMar>
              <w:top w:type="dxa" w:w="60"/>
              <w:left w:type="dxa" w:w="120"/>
              <w:bottom w:type="dxa" w:w="60"/>
              <w:right w:type="dxa" w:w="120"/>
            </w:tcMar>
          </w:tcPr>
          <w:p>
            <w:r>
              <w:rPr>
                <w:rFonts w:ascii="Calibri"/>
                <w:b/>
                <w:bCs/>
                <w:color w:val="FFFFFF"/>
                <w:sz w:val="21"/>
                <w:szCs w:val="21"/>
              </w:rPr>
              <w:t xml:space="preserve">v7 Hit Rate</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v6 Total Pts</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v7 Total Pts</w:t>
            </w:r>
          </w:p>
        </w:tc>
        <w:tc>
          <w:tcPr>
            <w:tcW w:type="pct" w:w="9%"/>
            <w:shd w:fill="529286" w:val="clear"/>
            <w:tcMar>
              <w:top w:type="dxa" w:w="60"/>
              <w:left w:type="dxa" w:w="120"/>
              <w:bottom w:type="dxa" w:w="60"/>
              <w:right w:type="dxa" w:w="120"/>
            </w:tcMar>
          </w:tcPr>
          <w:p>
            <w:r>
              <w:rPr>
                <w:rFonts w:ascii="Calibri"/>
                <w:b/>
                <w:bCs/>
                <w:color w:val="FFFFFF"/>
                <w:sz w:val="21"/>
                <w:szCs w:val="21"/>
              </w:rPr>
              <w:t xml:space="preserve">Change</w:t>
            </w:r>
          </w:p>
        </w:tc>
      </w:tr>
      <w:tr>
        <w:trPr>
          <w:cantSplit/>
        </w:trPr>
        <w:tc>
          <w:tcPr>
            <w:tcW w:type="pct" w:w="25%"/>
            <w:tcMar>
              <w:top w:type="dxa" w:w="50"/>
              <w:left w:type="dxa" w:w="120"/>
              <w:bottom w:type="dxa" w:w="50"/>
              <w:right w:type="dxa" w:w="120"/>
            </w:tcMar>
          </w:tcPr>
          <w:p>
            <w:r>
              <w:rPr>
                <w:rFonts w:ascii="Calibri"/>
                <w:color w:val="1A2B40"/>
                <w:sz w:val="21"/>
                <w:szCs w:val="21"/>
              </w:rPr>
              <w:t xml:space="preserve">BC1: ADX &gt; -DI</w:t>
            </w:r>
          </w:p>
        </w:tc>
        <w:tc>
          <w:tcPr>
            <w:tcW w:type="pct" w:w="15%"/>
            <w:tcMar>
              <w:top w:type="dxa" w:w="50"/>
              <w:left w:type="dxa" w:w="120"/>
              <w:bottom w:type="dxa" w:w="50"/>
              <w:right w:type="dxa" w:w="120"/>
            </w:tcMar>
          </w:tcPr>
          <w:p>
            <w:r>
              <w:rPr>
                <w:rFonts w:ascii="Calibri"/>
                <w:color w:val="1A2B40"/>
                <w:sz w:val="21"/>
                <w:szCs w:val="21"/>
              </w:rPr>
              <w:t xml:space="preserve">60%</w:t>
            </w:r>
          </w:p>
        </w:tc>
        <w:tc>
          <w:tcPr>
            <w:tcW w:type="pct" w:w="15%"/>
            <w:tcMar>
              <w:top w:type="dxa" w:w="50"/>
              <w:left w:type="dxa" w:w="120"/>
              <w:bottom w:type="dxa" w:w="50"/>
              <w:right w:type="dxa" w:w="120"/>
            </w:tcMar>
          </w:tcPr>
          <w:p>
            <w:r>
              <w:rPr>
                <w:rFonts w:ascii="Calibri"/>
                <w:color w:val="1A2B40"/>
                <w:sz w:val="21"/>
                <w:szCs w:val="21"/>
              </w:rPr>
              <w:t xml:space="preserve">9%</w:t>
            </w:r>
          </w:p>
        </w:tc>
        <w:tc>
          <w:tcPr>
            <w:tcW w:type="pct" w:w="18%"/>
            <w:tcMar>
              <w:top w:type="dxa" w:w="50"/>
              <w:left w:type="dxa" w:w="120"/>
              <w:bottom w:type="dxa" w:w="50"/>
              <w:right w:type="dxa" w:w="120"/>
            </w:tcMar>
          </w:tcPr>
          <w:p>
            <w:r>
              <w:rPr>
                <w:rFonts w:ascii="Calibri"/>
                <w:color w:val="1A2B40"/>
                <w:sz w:val="21"/>
                <w:szCs w:val="21"/>
              </w:rPr>
              <w:t xml:space="preserve">565</w:t>
            </w:r>
          </w:p>
        </w:tc>
        <w:tc>
          <w:tcPr>
            <w:tcW w:type="pct" w:w="18%"/>
            <w:tcMar>
              <w:top w:type="dxa" w:w="50"/>
              <w:left w:type="dxa" w:w="120"/>
              <w:bottom w:type="dxa" w:w="50"/>
              <w:right w:type="dxa" w:w="120"/>
            </w:tcMar>
          </w:tcPr>
          <w:p>
            <w:r>
              <w:rPr>
                <w:rFonts w:ascii="Calibri"/>
                <w:color w:val="1A2B40"/>
                <w:sz w:val="21"/>
                <w:szCs w:val="21"/>
              </w:rPr>
              <w:t xml:space="preserve">~85</w:t>
            </w:r>
          </w:p>
        </w:tc>
        <w:tc>
          <w:tcPr>
            <w:tcW w:type="pct" w:w="9%"/>
            <w:tcMar>
              <w:top w:type="dxa" w:w="50"/>
              <w:left w:type="dxa" w:w="120"/>
              <w:bottom w:type="dxa" w:w="50"/>
              <w:right w:type="dxa" w:w="120"/>
            </w:tcMar>
          </w:tcPr>
          <w:p>
            <w:r>
              <w:rPr>
                <w:rFonts w:ascii="Calibri"/>
                <w:color w:val="1A2B40"/>
                <w:sz w:val="21"/>
                <w:szCs w:val="21"/>
              </w:rPr>
              <w:t xml:space="preserve">-85%</w:t>
            </w:r>
          </w:p>
        </w:tc>
      </w:tr>
      <w:tr>
        <w:trPr>
          <w:cantSplit/>
        </w:trPr>
        <w:tc>
          <w:tcPr>
            <w:tcW w:type="pct" w:w="25%"/>
            <w:shd w:fill="E8ECEB" w:val="clear"/>
            <w:tcMar>
              <w:top w:type="dxa" w:w="50"/>
              <w:left w:type="dxa" w:w="120"/>
              <w:bottom w:type="dxa" w:w="50"/>
              <w:right w:type="dxa" w:w="120"/>
            </w:tcMar>
          </w:tcPr>
          <w:p>
            <w:r>
              <w:rPr>
                <w:rFonts w:ascii="Calibri"/>
                <w:color w:val="1A2B40"/>
                <w:sz w:val="21"/>
                <w:szCs w:val="21"/>
              </w:rPr>
              <w:t xml:space="preserve">BC2: MACD &gt; 0</w:t>
            </w:r>
          </w:p>
        </w:tc>
        <w:tc>
          <w:tcPr>
            <w:tcW w:type="pct" w:w="15%"/>
            <w:shd w:fill="E8ECEB" w:val="clear"/>
            <w:tcMar>
              <w:top w:type="dxa" w:w="50"/>
              <w:left w:type="dxa" w:w="120"/>
              <w:bottom w:type="dxa" w:w="50"/>
              <w:right w:type="dxa" w:w="120"/>
            </w:tcMar>
          </w:tcPr>
          <w:p>
            <w:r>
              <w:rPr>
                <w:rFonts w:ascii="Calibri"/>
                <w:color w:val="1A2B40"/>
                <w:sz w:val="21"/>
                <w:szCs w:val="21"/>
              </w:rPr>
              <w:t xml:space="preserve">54%</w:t>
            </w:r>
          </w:p>
        </w:tc>
        <w:tc>
          <w:tcPr>
            <w:tcW w:type="pct" w:w="15%"/>
            <w:shd w:fill="E8ECEB" w:val="clear"/>
            <w:tcMar>
              <w:top w:type="dxa" w:w="50"/>
              <w:left w:type="dxa" w:w="120"/>
              <w:bottom w:type="dxa" w:w="50"/>
              <w:right w:type="dxa" w:w="120"/>
            </w:tcMar>
          </w:tcPr>
          <w:p>
            <w:r>
              <w:rPr>
                <w:rFonts w:ascii="Calibri"/>
                <w:color w:val="1A2B40"/>
                <w:sz w:val="21"/>
                <w:szCs w:val="21"/>
              </w:rPr>
              <w:t xml:space="preserve">8%</w:t>
            </w:r>
          </w:p>
        </w:tc>
        <w:tc>
          <w:tcPr>
            <w:tcW w:type="pct" w:w="18%"/>
            <w:shd w:fill="E8ECEB" w:val="clear"/>
            <w:tcMar>
              <w:top w:type="dxa" w:w="50"/>
              <w:left w:type="dxa" w:w="120"/>
              <w:bottom w:type="dxa" w:w="50"/>
              <w:right w:type="dxa" w:w="120"/>
            </w:tcMar>
          </w:tcPr>
          <w:p>
            <w:r>
              <w:rPr>
                <w:rFonts w:ascii="Calibri"/>
                <w:color w:val="1A2B40"/>
                <w:sz w:val="21"/>
                <w:szCs w:val="21"/>
              </w:rPr>
              <w:t xml:space="preserve">512.5</w:t>
            </w:r>
          </w:p>
        </w:tc>
        <w:tc>
          <w:tcPr>
            <w:tcW w:type="pct" w:w="18%"/>
            <w:shd w:fill="E8ECEB" w:val="clear"/>
            <w:tcMar>
              <w:top w:type="dxa" w:w="50"/>
              <w:left w:type="dxa" w:w="120"/>
              <w:bottom w:type="dxa" w:w="50"/>
              <w:right w:type="dxa" w:w="120"/>
            </w:tcMar>
          </w:tcPr>
          <w:p>
            <w:r>
              <w:rPr>
                <w:rFonts w:ascii="Calibri"/>
                <w:color w:val="1A2B40"/>
                <w:sz w:val="21"/>
                <w:szCs w:val="21"/>
              </w:rPr>
              <w:t xml:space="preserve">~75</w:t>
            </w:r>
          </w:p>
        </w:tc>
        <w:tc>
          <w:tcPr>
            <w:tcW w:type="pct" w:w="9%"/>
            <w:shd w:fill="E8ECEB" w:val="clear"/>
            <w:tcMar>
              <w:top w:type="dxa" w:w="50"/>
              <w:left w:type="dxa" w:w="120"/>
              <w:bottom w:type="dxa" w:w="50"/>
              <w:right w:type="dxa" w:w="120"/>
            </w:tcMar>
          </w:tcPr>
          <w:p>
            <w:r>
              <w:rPr>
                <w:rFonts w:ascii="Calibri"/>
                <w:color w:val="1A2B40"/>
                <w:sz w:val="21"/>
                <w:szCs w:val="21"/>
              </w:rPr>
              <w:t xml:space="preserve">-85%</w:t>
            </w:r>
          </w:p>
        </w:tc>
      </w:tr>
      <w:tr>
        <w:trPr>
          <w:cantSplit/>
        </w:trPr>
        <w:tc>
          <w:tcPr>
            <w:tcW w:type="pct" w:w="25%"/>
            <w:tcMar>
              <w:top w:type="dxa" w:w="50"/>
              <w:left w:type="dxa" w:w="120"/>
              <w:bottom w:type="dxa" w:w="50"/>
              <w:right w:type="dxa" w:w="120"/>
            </w:tcMar>
          </w:tcPr>
          <w:p>
            <w:r>
              <w:rPr>
                <w:rFonts w:ascii="Calibri"/>
                <w:color w:val="1A2B40"/>
                <w:sz w:val="21"/>
                <w:szCs w:val="21"/>
              </w:rPr>
              <w:t xml:space="preserve">Bonus C Pool Avg/Day</w:t>
            </w:r>
          </w:p>
        </w:tc>
        <w:tc>
          <w:tcPr>
            <w:tcW w:type="pct" w:w="15%"/>
            <w:tcMar>
              <w:top w:type="dxa" w:w="50"/>
              <w:left w:type="dxa" w:w="120"/>
              <w:bottom w:type="dxa" w:w="50"/>
              <w:right w:type="dxa" w:w="120"/>
            </w:tcMar>
          </w:tcPr>
          <w:p>
            <w:r>
              <w:rPr>
                <w:rFonts w:ascii="Calibri"/>
                <w:color w:val="1A2B40"/>
                <w:sz w:val="21"/>
                <w:szCs w:val="21"/>
              </w:rPr>
              <w:t xml:space="preserve">2.9 pts</w:t>
            </w:r>
          </w:p>
        </w:tc>
        <w:tc>
          <w:tcPr>
            <w:tcW w:type="pct" w:w="15%"/>
            <w:tcMar>
              <w:top w:type="dxa" w:w="50"/>
              <w:left w:type="dxa" w:w="120"/>
              <w:bottom w:type="dxa" w:w="50"/>
              <w:right w:type="dxa" w:w="120"/>
            </w:tcMar>
          </w:tcPr>
          <w:p>
            <w:r>
              <w:rPr>
                <w:rFonts w:ascii="Calibri"/>
                <w:color w:val="1A2B40"/>
                <w:sz w:val="21"/>
                <w:szCs w:val="21"/>
              </w:rPr>
              <w:t xml:space="preserve">0.4 pts</w:t>
            </w:r>
          </w:p>
        </w:tc>
        <w:tc>
          <w:tcPr>
            <w:tcW w:type="pct" w:w="18%"/>
            <w:tcMar>
              <w:top w:type="dxa" w:w="50"/>
              <w:left w:type="dxa" w:w="120"/>
              <w:bottom w:type="dxa" w:w="50"/>
              <w:right w:type="dxa" w:w="120"/>
            </w:tcMar>
          </w:tcPr>
          <w:p>
            <w:r>
              <w:rPr>
                <w:rFonts w:ascii="Calibri"/>
                <w:color w:val="1A2B40"/>
                <w:sz w:val="21"/>
                <w:szCs w:val="21"/>
              </w:rPr>
              <w:t xml:space="preserve">57% util</w:t>
            </w:r>
          </w:p>
        </w:tc>
        <w:tc>
          <w:tcPr>
            <w:tcW w:type="pct" w:w="18%"/>
            <w:tcMar>
              <w:top w:type="dxa" w:w="50"/>
              <w:left w:type="dxa" w:w="120"/>
              <w:bottom w:type="dxa" w:w="50"/>
              <w:right w:type="dxa" w:w="120"/>
            </w:tcMar>
          </w:tcPr>
          <w:p>
            <w:r>
              <w:rPr>
                <w:rFonts w:ascii="Calibri"/>
                <w:color w:val="1A2B40"/>
                <w:sz w:val="21"/>
                <w:szCs w:val="21"/>
              </w:rPr>
              <w:t xml:space="preserve">8% util</w:t>
            </w:r>
          </w:p>
        </w:tc>
        <w:tc>
          <w:tcPr>
            <w:tcW w:type="pct" w:w="9%"/>
            <w:tcMar>
              <w:top w:type="dxa" w:w="50"/>
              <w:left w:type="dxa" w:w="120"/>
              <w:bottom w:type="dxa" w:w="50"/>
              <w:right w:type="dxa" w:w="120"/>
            </w:tcMar>
          </w:tcPr>
          <w:p>
            <w:r>
              <w:rPr>
                <w:rFonts w:ascii="Calibri"/>
                <w:color w:val="1A2B40"/>
                <w:sz w:val="21"/>
                <w:szCs w:val="21"/>
              </w:rPr>
              <w:t xml:space="preserve">-86%</w:t>
            </w:r>
          </w:p>
        </w:tc>
      </w:tr>
    </w:tbl>
    <w:p>
      <w:pPr>
        <w:spacing w:after="120" w:line="312"/>
        <w:jc w:val="both"/>
      </w:pPr>
      <w:r>
        <w:rPr>
          <w:rFonts w:ascii="Calibri" w:eastAsia="Microsoft YaHei"/>
          <w:color w:val="1A2B40"/>
          <w:sz w:val="24"/>
          <w:szCs w:val="24"/>
        </w:rPr>
        <w:t xml:space="preserve">Table 3: Bonus C signal comparison showing the 86% collapse in contribution.</w:t>
      </w:r>
    </w:p>
    <w:p>
      <w:pPr>
        <w:pStyle w:val="Heading2"/>
        <w:spacing w:after="120" w:before="240" w:line="312"/>
      </w:pPr>
      <w:bookmarkStart w:id="100006" w:name="_Toc100006"/>
      <w:r>
        <w:rPr>
          <w:rFonts w:ascii="Calibri" w:eastAsia="SimHei"/>
          <w:b/>
          <w:bCs/>
          <w:color w:val="101820"/>
          <w:sz w:val="28"/>
          <w:szCs w:val="28"/>
        </w:rPr>
        <w:t xml:space="preserve">3.2 Secondary Cause: Entry Threshold 70 to 75 (Impact: ~100-120 P&amp;L points)</w:t>
      </w:r>
      <w:bookmarkEnd w:id="100006"/>
    </w:p>
    <w:p>
      <w:pPr>
        <w:spacing w:after="120" w:line="312"/>
        <w:ind w:firstLine="480"/>
        <w:jc w:val="both"/>
      </w:pPr>
      <w:r>
        <w:rPr>
          <w:rFonts w:ascii="Calibri" w:eastAsia="Microsoft YaHei"/>
          <w:color w:val="1A2B40"/>
          <w:sz w:val="24"/>
          <w:szCs w:val="24"/>
        </w:rPr>
        <w:t xml:space="preserve">The entry threshold increase from 70 to 75 directly blocked three trades that were profitable in v6. The most impactful blocked trade was the May 6, 2025 entry at a score of 77.79, which captured an +80.47% gain before a divergence exit on June 23. This single trade contributed nearly a third of the total v6 P&amp;L. The second blocked trade was the August 13, 2025 entry (score not directly available in v7 due to BC decay lowering it), which captured +84.30%. The third was the June 24, 2025 entry at 204.17, which resulted in a -12.13% loss, so blocking this was actually beneficial.</w:t>
      </w:r>
    </w:p>
    <w:p>
      <w:pPr>
        <w:spacing w:after="120" w:line="312"/>
        <w:ind w:firstLine="480"/>
        <w:jc w:val="both"/>
      </w:pPr>
      <w:r>
        <w:rPr>
          <w:rFonts w:ascii="Calibri" w:eastAsia="Microsoft YaHei"/>
          <w:color w:val="1A2B40"/>
          <w:sz w:val="24"/>
          <w:szCs w:val="24"/>
        </w:rPr>
        <w:t xml:space="preserve">However, the threshold increase interacts multiplicatively with the Bonus C decay. Of the three blocked trades, at least two (May 6 and Aug 13) had scores that would have been above 75 if the old Bonus C behavior (adding ~5 pts) were in effect. In other words, the threshold increase alone might have blocked only one trade, but combined with the Bonus C decay, three trades were lost. This makes the threshold a compounding factor rather than an independent cause. The threshold change is also responsible for the WATCHLIST-to-PILOT-BUY rename: with a 75 threshold, the 50-69 band becomes the primary observation zone rather than a secondary watchlist, necessitating the nomenclature change to reflect its increased importance.</w:t>
      </w:r>
    </w:p>
    <w:p>
      <w:pPr>
        <w:pStyle w:val="Heading2"/>
        <w:spacing w:after="120" w:before="240" w:line="312"/>
      </w:pPr>
      <w:bookmarkStart w:id="100007" w:name="_Toc100007"/>
      <w:r>
        <w:rPr>
          <w:rFonts w:ascii="Calibri" w:eastAsia="SimHei"/>
          <w:b/>
          <w:bCs/>
          <w:color w:val="101820"/>
          <w:sz w:val="28"/>
          <w:szCs w:val="28"/>
        </w:rPr>
        <w:t xml:space="preserve">3.3 Tertiary Cause: ADX Sideways Filter (Impact: ~10-20 P&amp;L points)</w:t>
      </w:r>
      <w:bookmarkEnd w:id="100007"/>
    </w:p>
    <w:p>
      <w:pPr>
        <w:spacing w:after="120" w:line="312"/>
        <w:ind w:firstLine="480"/>
        <w:jc w:val="both"/>
      </w:pPr>
      <w:r>
        <w:rPr>
          <w:rFonts w:ascii="Calibri" w:eastAsia="Microsoft YaHei"/>
          <w:color w:val="1A2B40"/>
          <w:sz w:val="24"/>
          <w:szCs w:val="24"/>
        </w:rPr>
        <w:t xml:space="preserve">The ADX &lt; 20 sideways market filter was introduced as a gate to prevent new entries during periods of low directional momentum. When ADX (Average Directional Index) falls below 20, the market is considered to be in a consolidation or ranging phase, and new trade entries are blocked. Existing trades are unaffected by this filter; it only prevents new position initiation. In the v7 backtest, this filter prevented an estimated 1-2 additional entries that would have occurred during low-ADX periods, some of which were minor losses. The net impact is modest but negative, as the filter blocked at least one small winning trade while preventing some losses.</w:t>
      </w:r>
    </w:p>
    <w:p>
      <w:pPr>
        <w:spacing w:after="120" w:line="312"/>
        <w:ind w:firstLine="480"/>
        <w:jc w:val="both"/>
      </w:pPr>
      <w:r>
        <w:rPr>
          <w:rFonts w:ascii="Calibri" w:eastAsia="Microsoft YaHei"/>
          <w:color w:val="1A2B40"/>
          <w:sz w:val="24"/>
          <w:szCs w:val="24"/>
        </w:rPr>
        <w:t xml:space="preserve">The ADX filter is the least impactful of the three changes and is arguably the most defensible from a risk management perspective. Sideways markets are genuine high-risk environments for trend-following systems, and the filter correctly identifies periods where the engine's recovery-focused signals are less reliable. The trade-off is that some genuine early-recovery entries occur during brief ADX dips, and these are lost. Overall, the filter's contribution to the P&amp;L decline is estimated at 10-20 basis points of cumulative return.</w:t>
      </w:r>
    </w:p>
    <w:p>
      <w:pPr>
        <w:pStyle w:val="Heading2"/>
        <w:spacing w:after="120" w:before="240" w:line="312"/>
      </w:pPr>
      <w:bookmarkStart w:id="100008" w:name="_Toc100008"/>
      <w:r>
        <w:rPr>
          <w:rFonts w:ascii="Calibri" w:eastAsia="SimHei"/>
          <w:b/>
          <w:bCs/>
          <w:color w:val="101820"/>
          <w:sz w:val="28"/>
          <w:szCs w:val="28"/>
        </w:rPr>
        <w:t xml:space="preserve">3.4 Divergence Exit Behavior Change</w:t>
      </w:r>
      <w:bookmarkEnd w:id="100008"/>
    </w:p>
    <w:p>
      <w:pPr>
        <w:spacing w:after="120" w:line="312"/>
        <w:ind w:firstLine="480"/>
        <w:jc w:val="both"/>
      </w:pPr>
      <w:r>
        <w:rPr>
          <w:rFonts w:ascii="Calibri" w:eastAsia="Microsoft YaHei"/>
          <w:color w:val="1A2B40"/>
          <w:sz w:val="24"/>
          <w:szCs w:val="24"/>
        </w:rPr>
        <w:t xml:space="preserve">In v6, the engine used a stateful RSI tracking mechanism for divergence exits: it monitored the highest RSI value since trade entry, and when price exceeded the price at peak RSI while RSI dropped by 3+ points below that peak, a divergence exit was triggered. This produced 5 divergence exits in v6, four of which locked in substantial gains (+25.4%, +80.5%, +84.3%, +110.9%). The fifth divergence exit at +5.5% was premature, as the stock continued higher afterward.</w:t>
      </w:r>
    </w:p>
    <w:p>
      <w:pPr>
        <w:spacing w:after="120" w:line="312"/>
        <w:ind w:firstLine="480"/>
        <w:jc w:val="both"/>
      </w:pPr>
      <w:r>
        <w:rPr>
          <w:rFonts w:ascii="Calibri" w:eastAsia="Microsoft YaHei"/>
          <w:color w:val="1A2B40"/>
          <w:sz w:val="24"/>
          <w:szCs w:val="24"/>
        </w:rPr>
        <w:t xml:space="preserve">In v7, the divergence detection logic remains in the code, but it effectively fires zero times. This is not a bug but a consequence: the higher 75 threshold and Bonus C decay prevent most trades from being entered in the first place, and without trades in progress, there are no opportunities for divergence exits. The one v7 trade that did have a significant gain (+43.4%, the April 10 entry) was exited not by divergence but by the score dropping below 50, which happened to produce a similar outcome. However, the divergence mechanism would likely have exited this trade earlier, preserving more of the gain.</w:t>
      </w:r>
    </w:p>
    <w:p>
      <w:pPr>
        <w:spacing w:after="120" w:line="312"/>
        <w:ind w:firstLine="480"/>
        <w:jc w:val="both"/>
      </w:pPr>
      <w:r>
        <w:rPr>
          <w:rFonts w:ascii="Calibri" w:eastAsia="Microsoft YaHei"/>
          <w:color w:val="1A2B40"/>
          <w:sz w:val="24"/>
          <w:szCs w:val="24"/>
        </w:rPr>
        <w:t xml:space="preserve">The divergence exit mechanism is a net positive feature. In v6, it exited four trades at favorable points, contributing significantly to the high cumulative P&amp;L. The only questionable exit was the July 3 trade (+5.5%), which was followed by a period-end exit at -3.54%, suggesting the divergence exit was actually superior to the alternative. Restoring the divergence exit requires restoring the conditions that allow trades to be entered in the first place, which means addressing the Bonus C decay and threshold changes.</w:t>
      </w:r>
    </w:p>
    <w:p>
      <w:pPr>
        <w:pStyle w:val="Heading1"/>
        <w:spacing w:after="160" w:before="360" w:line="312"/>
      </w:pPr>
      <w:bookmarkStart w:id="100009" w:name="_Toc100009"/>
      <w:r>
        <w:rPr>
          <w:rFonts w:ascii="Calibri" w:eastAsia="SimHei"/>
          <w:b/>
          <w:bCs/>
          <w:color w:val="101820"/>
          <w:sz w:val="32"/>
          <w:szCs w:val="32"/>
        </w:rPr>
        <w:t xml:space="preserve">4. Trade-by-Trade Impact Analysis</w:t>
      </w:r>
      <w:bookmarkEnd w:id="100009"/>
    </w:p>
    <w:p>
      <w:pPr>
        <w:spacing w:after="120" w:line="312"/>
        <w:ind w:firstLine="480"/>
        <w:jc w:val="both"/>
      </w:pPr>
      <w:r>
        <w:rPr>
          <w:rFonts w:ascii="Calibri" w:eastAsia="Microsoft YaHei"/>
          <w:color w:val="1A2B40"/>
          <w:sz w:val="24"/>
          <w:szCs w:val="24"/>
        </w:rPr>
        <w:t xml:space="preserve">The following table presents a side-by-side comparison of all trades in v6 and v7, showing how each change affected individual trade outcomes. Trades that appear in v6 but not in v7 were blocked by the combined effect of the threshold increase, Bonus C decay, or ADX filter. Trades appearing in both versions show the impact of exit mechanism differences.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gridCol w:w="100"/>
      </w:tblGrid>
      <w:tr>
        <w:trPr>
          <w:cantSplit/>
          <w:tblHeader/>
        </w:trPr>
        <w:tc>
          <w:tcPr>
            <w:tcW w:type="pct" w:w="8%"/>
            <w:shd w:fill="529286" w:val="clear"/>
            <w:tcMar>
              <w:top w:type="dxa" w:w="60"/>
              <w:left w:type="dxa" w:w="120"/>
              <w:bottom w:type="dxa" w:w="60"/>
              <w:right w:type="dxa" w:w="120"/>
            </w:tcMar>
          </w:tcPr>
          <w:p>
            <w:r>
              <w:rPr>
                <w:rFonts w:ascii="Calibri"/>
                <w:b/>
                <w:bCs/>
                <w:color w:val="FFFFFF"/>
                <w:sz w:val="21"/>
                <w:szCs w:val="21"/>
              </w:rPr>
              <w:t xml:space="preserve">#</w:t>
            </w:r>
          </w:p>
        </w:tc>
        <w:tc>
          <w:tcPr>
            <w:tcW w:type="pct" w:w="14%"/>
            <w:shd w:fill="529286" w:val="clear"/>
            <w:tcMar>
              <w:top w:type="dxa" w:w="60"/>
              <w:left w:type="dxa" w:w="120"/>
              <w:bottom w:type="dxa" w:w="60"/>
              <w:right w:type="dxa" w:w="120"/>
            </w:tcMar>
          </w:tcPr>
          <w:p>
            <w:r>
              <w:rPr>
                <w:rFonts w:ascii="Calibri"/>
                <w:b/>
                <w:bCs/>
                <w:color w:val="FFFFFF"/>
                <w:sz w:val="21"/>
                <w:szCs w:val="21"/>
              </w:rPr>
              <w:t xml:space="preserve">v6 Entry</w:t>
            </w:r>
          </w:p>
        </w:tc>
        <w:tc>
          <w:tcPr>
            <w:tcW w:type="pct" w:w="12%"/>
            <w:shd w:fill="529286" w:val="clear"/>
            <w:tcMar>
              <w:top w:type="dxa" w:w="60"/>
              <w:left w:type="dxa" w:w="120"/>
              <w:bottom w:type="dxa" w:w="60"/>
              <w:right w:type="dxa" w:w="120"/>
            </w:tcMar>
          </w:tcPr>
          <w:p>
            <w:r>
              <w:rPr>
                <w:rFonts w:ascii="Calibri"/>
                <w:b/>
                <w:bCs/>
                <w:color w:val="FFFFFF"/>
                <w:sz w:val="21"/>
                <w:szCs w:val="21"/>
              </w:rPr>
              <w:t xml:space="preserve">v6 P&amp;L</w:t>
            </w:r>
          </w:p>
        </w:tc>
        <w:tc>
          <w:tcPr>
            <w:tcW w:type="pct" w:w="14%"/>
            <w:shd w:fill="529286" w:val="clear"/>
            <w:tcMar>
              <w:top w:type="dxa" w:w="60"/>
              <w:left w:type="dxa" w:w="120"/>
              <w:bottom w:type="dxa" w:w="60"/>
              <w:right w:type="dxa" w:w="120"/>
            </w:tcMar>
          </w:tcPr>
          <w:p>
            <w:r>
              <w:rPr>
                <w:rFonts w:ascii="Calibri"/>
                <w:b/>
                <w:bCs/>
                <w:color w:val="FFFFFF"/>
                <w:sz w:val="21"/>
                <w:szCs w:val="21"/>
              </w:rPr>
              <w:t xml:space="preserve">v7 Entry</w:t>
            </w:r>
          </w:p>
        </w:tc>
        <w:tc>
          <w:tcPr>
            <w:tcW w:type="pct" w:w="12%"/>
            <w:shd w:fill="529286" w:val="clear"/>
            <w:tcMar>
              <w:top w:type="dxa" w:w="60"/>
              <w:left w:type="dxa" w:w="120"/>
              <w:bottom w:type="dxa" w:w="60"/>
              <w:right w:type="dxa" w:w="120"/>
            </w:tcMar>
          </w:tcPr>
          <w:p>
            <w:r>
              <w:rPr>
                <w:rFonts w:ascii="Calibri"/>
                <w:b/>
                <w:bCs/>
                <w:color w:val="FFFFFF"/>
                <w:sz w:val="21"/>
                <w:szCs w:val="21"/>
              </w:rPr>
              <w:t xml:space="preserve">v7 P&amp;L</w:t>
            </w:r>
          </w:p>
        </w:tc>
        <w:tc>
          <w:tcPr>
            <w:tcW w:type="pct" w:w="40%"/>
            <w:shd w:fill="529286" w:val="clear"/>
            <w:tcMar>
              <w:top w:type="dxa" w:w="60"/>
              <w:left w:type="dxa" w:w="120"/>
              <w:bottom w:type="dxa" w:w="60"/>
              <w:right w:type="dxa" w:w="120"/>
            </w:tcMar>
          </w:tcPr>
          <w:p>
            <w:r>
              <w:rPr>
                <w:rFonts w:ascii="Calibri"/>
                <w:b/>
                <w:bCs/>
                <w:color w:val="FFFFFF"/>
                <w:sz w:val="21"/>
                <w:szCs w:val="21"/>
              </w:rPr>
              <w:t xml:space="preserve">Root Cause of Difference</w:t>
            </w:r>
          </w:p>
        </w:tc>
      </w:tr>
      <w:tr>
        <w:trPr>
          <w:cantSplit/>
        </w:trPr>
        <w:tc>
          <w:tcPr>
            <w:tcW w:type="pct" w:w="8%"/>
            <w:tcMar>
              <w:top w:type="dxa" w:w="50"/>
              <w:left w:type="dxa" w:w="120"/>
              <w:bottom w:type="dxa" w:w="50"/>
              <w:right w:type="dxa" w:w="120"/>
            </w:tcMar>
          </w:tcPr>
          <w:p>
            <w:r>
              <w:rPr>
                <w:rFonts w:ascii="Calibri"/>
                <w:color w:val="1A2B40"/>
                <w:sz w:val="21"/>
                <w:szCs w:val="21"/>
              </w:rPr>
              <w:t xml:space="preserve">1</w:t>
            </w:r>
          </w:p>
        </w:tc>
        <w:tc>
          <w:tcPr>
            <w:tcW w:type="pct" w:w="14%"/>
            <w:tcMar>
              <w:top w:type="dxa" w:w="50"/>
              <w:left w:type="dxa" w:w="120"/>
              <w:bottom w:type="dxa" w:w="50"/>
              <w:right w:type="dxa" w:w="120"/>
            </w:tcMar>
          </w:tcPr>
          <w:p>
            <w:r>
              <w:rPr>
                <w:rFonts w:ascii="Calibri"/>
                <w:color w:val="1A2B40"/>
                <w:sz w:val="21"/>
                <w:szCs w:val="21"/>
              </w:rPr>
              <w:t xml:space="preserve">Jan 01</w:t>
            </w:r>
          </w:p>
        </w:tc>
        <w:tc>
          <w:tcPr>
            <w:tcW w:type="pct" w:w="12%"/>
            <w:tcMar>
              <w:top w:type="dxa" w:w="50"/>
              <w:left w:type="dxa" w:w="120"/>
              <w:bottom w:type="dxa" w:w="50"/>
              <w:right w:type="dxa" w:w="120"/>
            </w:tcMar>
          </w:tcPr>
          <w:p>
            <w:r>
              <w:rPr>
                <w:rFonts w:ascii="Calibri"/>
                <w:color w:val="1A2B40"/>
                <w:sz w:val="21"/>
                <w:szCs w:val="21"/>
              </w:rPr>
              <w:t xml:space="preserve">+25.4%</w:t>
            </w:r>
          </w:p>
        </w:tc>
        <w:tc>
          <w:tcPr>
            <w:tcW w:type="pct" w:w="14%"/>
            <w:tcMar>
              <w:top w:type="dxa" w:w="50"/>
              <w:left w:type="dxa" w:w="120"/>
              <w:bottom w:type="dxa" w:w="50"/>
              <w:right w:type="dxa" w:w="120"/>
            </w:tcMar>
          </w:tcPr>
          <w:p>
            <w:r>
              <w:rPr>
                <w:rFonts w:ascii="Calibri"/>
                <w:color w:val="1A2B40"/>
                <w:sz w:val="21"/>
                <w:szCs w:val="21"/>
              </w:rPr>
              <w:t xml:space="preserve">Jan 01</w:t>
            </w:r>
          </w:p>
        </w:tc>
        <w:tc>
          <w:tcPr>
            <w:tcW w:type="pct" w:w="12%"/>
            <w:tcMar>
              <w:top w:type="dxa" w:w="50"/>
              <w:left w:type="dxa" w:w="120"/>
              <w:bottom w:type="dxa" w:w="50"/>
              <w:right w:type="dxa" w:w="120"/>
            </w:tcMar>
          </w:tcPr>
          <w:p>
            <w:r>
              <w:rPr>
                <w:rFonts w:ascii="Calibri"/>
                <w:color w:val="1A2B40"/>
                <w:sz w:val="21"/>
                <w:szCs w:val="21"/>
              </w:rPr>
              <w:t xml:space="preserve">+25.4%</w:t>
            </w:r>
          </w:p>
        </w:tc>
        <w:tc>
          <w:tcPr>
            <w:tcW w:type="pct" w:w="40%"/>
            <w:tcMar>
              <w:top w:type="dxa" w:w="50"/>
              <w:left w:type="dxa" w:w="120"/>
              <w:bottom w:type="dxa" w:w="50"/>
              <w:right w:type="dxa" w:w="120"/>
            </w:tcMar>
          </w:tcPr>
          <w:p>
            <w:r>
              <w:rPr>
                <w:rFonts w:ascii="Calibri"/>
                <w:color w:val="1A2B40"/>
                <w:sz w:val="21"/>
                <w:szCs w:val="21"/>
              </w:rPr>
              <w:t xml:space="preserve">Same outcome (score&gt;75 on day 1)</w:t>
            </w:r>
          </w:p>
        </w:tc>
      </w:tr>
      <w:tr>
        <w:trPr>
          <w:cantSplit/>
        </w:trPr>
        <w:tc>
          <w:tcPr>
            <w:tcW w:type="pct" w:w="8%"/>
            <w:shd w:fill="E8ECEB" w:val="clear"/>
            <w:tcMar>
              <w:top w:type="dxa" w:w="50"/>
              <w:left w:type="dxa" w:w="120"/>
              <w:bottom w:type="dxa" w:w="50"/>
              <w:right w:type="dxa" w:w="120"/>
            </w:tcMar>
          </w:tcPr>
          <w:p>
            <w:r>
              <w:rPr>
                <w:rFonts w:ascii="Calibri"/>
                <w:color w:val="1A2B40"/>
                <w:sz w:val="21"/>
                <w:szCs w:val="21"/>
              </w:rPr>
              <w:t xml:space="preserve">2</w:t>
            </w:r>
          </w:p>
        </w:tc>
        <w:tc>
          <w:tcPr>
            <w:tcW w:type="pct" w:w="14%"/>
            <w:shd w:fill="E8ECEB" w:val="clear"/>
            <w:tcMar>
              <w:top w:type="dxa" w:w="50"/>
              <w:left w:type="dxa" w:w="120"/>
              <w:bottom w:type="dxa" w:w="50"/>
              <w:right w:type="dxa" w:w="120"/>
            </w:tcMar>
          </w:tcPr>
          <w:p>
            <w:r>
              <w:rPr>
                <w:rFonts w:ascii="Calibri"/>
                <w:color w:val="1A2B40"/>
                <w:sz w:val="21"/>
                <w:szCs w:val="21"/>
              </w:rPr>
              <w:t xml:space="preserve">May 06</w:t>
            </w:r>
          </w:p>
        </w:tc>
        <w:tc>
          <w:tcPr>
            <w:tcW w:type="pct" w:w="12%"/>
            <w:shd w:fill="E8ECEB" w:val="clear"/>
            <w:tcMar>
              <w:top w:type="dxa" w:w="50"/>
              <w:left w:type="dxa" w:w="120"/>
              <w:bottom w:type="dxa" w:w="50"/>
              <w:right w:type="dxa" w:w="120"/>
            </w:tcMar>
          </w:tcPr>
          <w:p>
            <w:r>
              <w:rPr>
                <w:rFonts w:ascii="Calibri"/>
                <w:color w:val="1A2B40"/>
                <w:sz w:val="21"/>
                <w:szCs w:val="21"/>
              </w:rPr>
              <w:t xml:space="preserve">+80.5%</w:t>
            </w:r>
          </w:p>
        </w:tc>
        <w:tc>
          <w:tcPr>
            <w:tcW w:type="pct" w:w="14%"/>
            <w:shd w:fill="E8ECEB" w:val="clear"/>
            <w:tcMar>
              <w:top w:type="dxa" w:w="50"/>
              <w:left w:type="dxa" w:w="120"/>
              <w:bottom w:type="dxa" w:w="50"/>
              <w:right w:type="dxa" w:w="120"/>
            </w:tcMar>
          </w:tcPr>
          <w:p>
            <w:r>
              <w:rPr>
                <w:rFonts w:ascii="Calibri"/>
                <w:color w:val="1A2B40"/>
                <w:sz w:val="21"/>
                <w:szCs w:val="21"/>
              </w:rPr>
              <w:t xml:space="preserve">BLOCKED</w:t>
            </w:r>
          </w:p>
        </w:tc>
        <w:tc>
          <w:tcPr>
            <w:tcW w:type="pct" w:w="12%"/>
            <w:shd w:fill="E8ECEB" w:val="clear"/>
            <w:tcMar>
              <w:top w:type="dxa" w:w="50"/>
              <w:left w:type="dxa" w:w="120"/>
              <w:bottom w:type="dxa" w:w="50"/>
              <w:right w:type="dxa" w:w="120"/>
            </w:tcMar>
          </w:tcPr>
          <w:p>
            <w:r>
              <w:rPr>
                <w:rFonts w:ascii="Calibri"/>
                <w:color w:val="1A2B40"/>
                <w:sz w:val="21"/>
                <w:szCs w:val="21"/>
              </w:rPr>
              <w:t xml:space="preserve">-</w:t>
            </w:r>
          </w:p>
        </w:tc>
        <w:tc>
          <w:tcPr>
            <w:tcW w:type="pct" w:w="40%"/>
            <w:shd w:fill="E8ECEB" w:val="clear"/>
            <w:tcMar>
              <w:top w:type="dxa" w:w="50"/>
              <w:left w:type="dxa" w:w="120"/>
              <w:bottom w:type="dxa" w:w="50"/>
              <w:right w:type="dxa" w:w="120"/>
            </w:tcMar>
          </w:tcPr>
          <w:p>
            <w:r>
              <w:rPr>
                <w:rFonts w:ascii="Calibri"/>
                <w:color w:val="1A2B40"/>
                <w:sz w:val="21"/>
                <w:szCs w:val="21"/>
              </w:rPr>
              <w:t xml:space="preserve">Threshold 75 + BC decay</w:t>
            </w:r>
          </w:p>
        </w:tc>
      </w:tr>
      <w:tr>
        <w:trPr>
          <w:cantSplit/>
        </w:trPr>
        <w:tc>
          <w:tcPr>
            <w:tcW w:type="pct" w:w="8%"/>
            <w:tcMar>
              <w:top w:type="dxa" w:w="50"/>
              <w:left w:type="dxa" w:w="120"/>
              <w:bottom w:type="dxa" w:w="50"/>
              <w:right w:type="dxa" w:w="120"/>
            </w:tcMar>
          </w:tcPr>
          <w:p>
            <w:r>
              <w:rPr>
                <w:rFonts w:ascii="Calibri"/>
                <w:color w:val="1A2B40"/>
                <w:sz w:val="21"/>
                <w:szCs w:val="21"/>
              </w:rPr>
              <w:t xml:space="preserve">3</w:t>
            </w:r>
          </w:p>
        </w:tc>
        <w:tc>
          <w:tcPr>
            <w:tcW w:type="pct" w:w="14%"/>
            <w:tcMar>
              <w:top w:type="dxa" w:w="50"/>
              <w:left w:type="dxa" w:w="120"/>
              <w:bottom w:type="dxa" w:w="50"/>
              <w:right w:type="dxa" w:w="120"/>
            </w:tcMar>
          </w:tcPr>
          <w:p>
            <w:r>
              <w:rPr>
                <w:rFonts w:ascii="Calibri"/>
                <w:color w:val="1A2B40"/>
                <w:sz w:val="21"/>
                <w:szCs w:val="21"/>
              </w:rPr>
              <w:t xml:space="preserve">Jun 24</w:t>
            </w:r>
          </w:p>
        </w:tc>
        <w:tc>
          <w:tcPr>
            <w:tcW w:type="pct" w:w="12%"/>
            <w:tcMar>
              <w:top w:type="dxa" w:w="50"/>
              <w:left w:type="dxa" w:w="120"/>
              <w:bottom w:type="dxa" w:w="50"/>
              <w:right w:type="dxa" w:w="120"/>
            </w:tcMar>
          </w:tcPr>
          <w:p>
            <w:r>
              <w:rPr>
                <w:rFonts w:ascii="Calibri"/>
                <w:color w:val="1A2B40"/>
                <w:sz w:val="21"/>
                <w:szCs w:val="21"/>
              </w:rPr>
              <w:t xml:space="preserve">-12.1%</w:t>
            </w:r>
          </w:p>
        </w:tc>
        <w:tc>
          <w:tcPr>
            <w:tcW w:type="pct" w:w="14%"/>
            <w:tcMar>
              <w:top w:type="dxa" w:w="50"/>
              <w:left w:type="dxa" w:w="120"/>
              <w:bottom w:type="dxa" w:w="50"/>
              <w:right w:type="dxa" w:w="120"/>
            </w:tcMar>
          </w:tcPr>
          <w:p>
            <w:r>
              <w:rPr>
                <w:rFonts w:ascii="Calibri"/>
                <w:color w:val="1A2B40"/>
                <w:sz w:val="21"/>
                <w:szCs w:val="21"/>
              </w:rPr>
              <w:t xml:space="preserve">BLOCKED</w:t>
            </w:r>
          </w:p>
        </w:tc>
        <w:tc>
          <w:tcPr>
            <w:tcW w:type="pct" w:w="12%"/>
            <w:tcMar>
              <w:top w:type="dxa" w:w="50"/>
              <w:left w:type="dxa" w:w="120"/>
              <w:bottom w:type="dxa" w:w="50"/>
              <w:right w:type="dxa" w:w="120"/>
            </w:tcMar>
          </w:tcPr>
          <w:p>
            <w:r>
              <w:rPr>
                <w:rFonts w:ascii="Calibri"/>
                <w:color w:val="1A2B40"/>
                <w:sz w:val="21"/>
                <w:szCs w:val="21"/>
              </w:rPr>
              <w:t xml:space="preserve">-</w:t>
            </w:r>
          </w:p>
        </w:tc>
        <w:tc>
          <w:tcPr>
            <w:tcW w:type="pct" w:w="40%"/>
            <w:tcMar>
              <w:top w:type="dxa" w:w="50"/>
              <w:left w:type="dxa" w:w="120"/>
              <w:bottom w:type="dxa" w:w="50"/>
              <w:right w:type="dxa" w:w="120"/>
            </w:tcMar>
          </w:tcPr>
          <w:p>
            <w:r>
              <w:rPr>
                <w:rFonts w:ascii="Calibri"/>
                <w:color w:val="1A2B40"/>
                <w:sz w:val="21"/>
                <w:szCs w:val="21"/>
              </w:rPr>
              <w:t xml:space="preserve">Cascade from Trade 2 loss</w:t>
            </w:r>
          </w:p>
        </w:tc>
      </w:tr>
      <w:tr>
        <w:trPr>
          <w:cantSplit/>
        </w:trPr>
        <w:tc>
          <w:tcPr>
            <w:tcW w:type="pct" w:w="8%"/>
            <w:shd w:fill="E8ECEB" w:val="clear"/>
            <w:tcMar>
              <w:top w:type="dxa" w:w="50"/>
              <w:left w:type="dxa" w:w="120"/>
              <w:bottom w:type="dxa" w:w="50"/>
              <w:right w:type="dxa" w:w="120"/>
            </w:tcMar>
          </w:tcPr>
          <w:p>
            <w:r>
              <w:rPr>
                <w:rFonts w:ascii="Calibri"/>
                <w:color w:val="1A2B40"/>
                <w:sz w:val="21"/>
                <w:szCs w:val="21"/>
              </w:rPr>
              <w:t xml:space="preserve">4</w:t>
            </w:r>
          </w:p>
        </w:tc>
        <w:tc>
          <w:tcPr>
            <w:tcW w:type="pct" w:w="14%"/>
            <w:shd w:fill="E8ECEB" w:val="clear"/>
            <w:tcMar>
              <w:top w:type="dxa" w:w="50"/>
              <w:left w:type="dxa" w:w="120"/>
              <w:bottom w:type="dxa" w:w="50"/>
              <w:right w:type="dxa" w:w="120"/>
            </w:tcMar>
          </w:tcPr>
          <w:p>
            <w:r>
              <w:rPr>
                <w:rFonts w:ascii="Calibri"/>
                <w:color w:val="1A2B40"/>
                <w:sz w:val="21"/>
                <w:szCs w:val="21"/>
              </w:rPr>
              <w:t xml:space="preserve">Aug 13</w:t>
            </w:r>
          </w:p>
        </w:tc>
        <w:tc>
          <w:tcPr>
            <w:tcW w:type="pct" w:w="12%"/>
            <w:shd w:fill="E8ECEB" w:val="clear"/>
            <w:tcMar>
              <w:top w:type="dxa" w:w="50"/>
              <w:left w:type="dxa" w:w="120"/>
              <w:bottom w:type="dxa" w:w="50"/>
              <w:right w:type="dxa" w:w="120"/>
            </w:tcMar>
          </w:tcPr>
          <w:p>
            <w:r>
              <w:rPr>
                <w:rFonts w:ascii="Calibri"/>
                <w:color w:val="1A2B40"/>
                <w:sz w:val="21"/>
                <w:szCs w:val="21"/>
              </w:rPr>
              <w:t xml:space="preserve">+84.3%</w:t>
            </w:r>
          </w:p>
        </w:tc>
        <w:tc>
          <w:tcPr>
            <w:tcW w:type="pct" w:w="14%"/>
            <w:shd w:fill="E8ECEB" w:val="clear"/>
            <w:tcMar>
              <w:top w:type="dxa" w:w="50"/>
              <w:left w:type="dxa" w:w="120"/>
              <w:bottom w:type="dxa" w:w="50"/>
              <w:right w:type="dxa" w:w="120"/>
            </w:tcMar>
          </w:tcPr>
          <w:p>
            <w:r>
              <w:rPr>
                <w:rFonts w:ascii="Calibri"/>
                <w:color w:val="1A2B40"/>
                <w:sz w:val="21"/>
                <w:szCs w:val="21"/>
              </w:rPr>
              <w:t xml:space="preserve">BLOCKED</w:t>
            </w:r>
          </w:p>
        </w:tc>
        <w:tc>
          <w:tcPr>
            <w:tcW w:type="pct" w:w="12%"/>
            <w:shd w:fill="E8ECEB" w:val="clear"/>
            <w:tcMar>
              <w:top w:type="dxa" w:w="50"/>
              <w:left w:type="dxa" w:w="120"/>
              <w:bottom w:type="dxa" w:w="50"/>
              <w:right w:type="dxa" w:w="120"/>
            </w:tcMar>
          </w:tcPr>
          <w:p>
            <w:r>
              <w:rPr>
                <w:rFonts w:ascii="Calibri"/>
                <w:color w:val="1A2B40"/>
                <w:sz w:val="21"/>
                <w:szCs w:val="21"/>
              </w:rPr>
              <w:t xml:space="preserve">-</w:t>
            </w:r>
          </w:p>
        </w:tc>
        <w:tc>
          <w:tcPr>
            <w:tcW w:type="pct" w:w="40%"/>
            <w:shd w:fill="E8ECEB" w:val="clear"/>
            <w:tcMar>
              <w:top w:type="dxa" w:w="50"/>
              <w:left w:type="dxa" w:w="120"/>
              <w:bottom w:type="dxa" w:w="50"/>
              <w:right w:type="dxa" w:w="120"/>
            </w:tcMar>
          </w:tcPr>
          <w:p>
            <w:r>
              <w:rPr>
                <w:rFonts w:ascii="Calibri"/>
                <w:color w:val="1A2B40"/>
                <w:sz w:val="21"/>
                <w:szCs w:val="21"/>
              </w:rPr>
              <w:t xml:space="preserve">BC decay + threshold 75</w:t>
            </w:r>
          </w:p>
        </w:tc>
      </w:tr>
      <w:tr>
        <w:trPr>
          <w:cantSplit/>
        </w:trPr>
        <w:tc>
          <w:tcPr>
            <w:tcW w:type="pct" w:w="8%"/>
            <w:tcMar>
              <w:top w:type="dxa" w:w="50"/>
              <w:left w:type="dxa" w:w="120"/>
              <w:bottom w:type="dxa" w:w="50"/>
              <w:right w:type="dxa" w:w="120"/>
            </w:tcMar>
          </w:tcPr>
          <w:p>
            <w:r>
              <w:rPr>
                <w:rFonts w:ascii="Calibri"/>
                <w:color w:val="1A2B40"/>
                <w:sz w:val="21"/>
                <w:szCs w:val="21"/>
              </w:rPr>
              <w:t xml:space="preserve">5</w:t>
            </w:r>
          </w:p>
        </w:tc>
        <w:tc>
          <w:tcPr>
            <w:tcW w:type="pct" w:w="14%"/>
            <w:tcMar>
              <w:top w:type="dxa" w:w="50"/>
              <w:left w:type="dxa" w:w="120"/>
              <w:bottom w:type="dxa" w:w="50"/>
              <w:right w:type="dxa" w:w="120"/>
            </w:tcMar>
          </w:tcPr>
          <w:p>
            <w:r>
              <w:rPr>
                <w:rFonts w:ascii="Calibri"/>
                <w:color w:val="1A2B40"/>
                <w:sz w:val="21"/>
                <w:szCs w:val="21"/>
              </w:rPr>
              <w:t xml:space="preserve">Dec 03</w:t>
            </w:r>
          </w:p>
        </w:tc>
        <w:tc>
          <w:tcPr>
            <w:tcW w:type="pct" w:w="12%"/>
            <w:tcMar>
              <w:top w:type="dxa" w:w="50"/>
              <w:left w:type="dxa" w:w="120"/>
              <w:bottom w:type="dxa" w:w="50"/>
              <w:right w:type="dxa" w:w="120"/>
            </w:tcMar>
          </w:tcPr>
          <w:p>
            <w:r>
              <w:rPr>
                <w:rFonts w:ascii="Calibri"/>
                <w:color w:val="1A2B40"/>
                <w:sz w:val="21"/>
                <w:szCs w:val="21"/>
              </w:rPr>
              <w:t xml:space="preserve">-3.3%</w:t>
            </w:r>
          </w:p>
        </w:tc>
        <w:tc>
          <w:tcPr>
            <w:tcW w:type="pct" w:w="14%"/>
            <w:tcMar>
              <w:top w:type="dxa" w:w="50"/>
              <w:left w:type="dxa" w:w="120"/>
              <w:bottom w:type="dxa" w:w="50"/>
              <w:right w:type="dxa" w:w="120"/>
            </w:tcMar>
          </w:tcPr>
          <w:p>
            <w:r>
              <w:rPr>
                <w:rFonts w:ascii="Calibri"/>
                <w:color w:val="1A2B40"/>
                <w:sz w:val="21"/>
                <w:szCs w:val="21"/>
              </w:rPr>
              <w:t xml:space="preserve">Dec 02</w:t>
            </w:r>
          </w:p>
        </w:tc>
        <w:tc>
          <w:tcPr>
            <w:tcW w:type="pct" w:w="12%"/>
            <w:tcMar>
              <w:top w:type="dxa" w:w="50"/>
              <w:left w:type="dxa" w:w="120"/>
              <w:bottom w:type="dxa" w:w="50"/>
              <w:right w:type="dxa" w:w="120"/>
            </w:tcMar>
          </w:tcPr>
          <w:p>
            <w:r>
              <w:rPr>
                <w:rFonts w:ascii="Calibri"/>
                <w:color w:val="1A2B40"/>
                <w:sz w:val="21"/>
                <w:szCs w:val="21"/>
              </w:rPr>
              <w:t xml:space="preserve">-5.1%</w:t>
            </w:r>
          </w:p>
        </w:tc>
        <w:tc>
          <w:tcPr>
            <w:tcW w:type="pct" w:w="40%"/>
            <w:tcMar>
              <w:top w:type="dxa" w:w="50"/>
              <w:left w:type="dxa" w:w="120"/>
              <w:bottom w:type="dxa" w:w="50"/>
              <w:right w:type="dxa" w:w="120"/>
            </w:tcMar>
          </w:tcPr>
          <w:p>
            <w:r>
              <w:rPr>
                <w:rFonts w:ascii="Calibri"/>
                <w:color w:val="1A2B40"/>
                <w:sz w:val="21"/>
                <w:szCs w:val="21"/>
              </w:rPr>
              <w:t xml:space="preserve">Similar loss, 1-day earlier entry</w:t>
            </w:r>
          </w:p>
        </w:tc>
      </w:tr>
      <w:tr>
        <w:trPr>
          <w:cantSplit/>
        </w:trPr>
        <w:tc>
          <w:tcPr>
            <w:tcW w:type="pct" w:w="8%"/>
            <w:shd w:fill="E8ECEB" w:val="clear"/>
            <w:tcMar>
              <w:top w:type="dxa" w:w="50"/>
              <w:left w:type="dxa" w:w="120"/>
              <w:bottom w:type="dxa" w:w="50"/>
              <w:right w:type="dxa" w:w="120"/>
            </w:tcMar>
          </w:tcPr>
          <w:p>
            <w:r>
              <w:rPr>
                <w:rFonts w:ascii="Calibri"/>
                <w:color w:val="1A2B40"/>
                <w:sz w:val="21"/>
                <w:szCs w:val="21"/>
              </w:rPr>
              <w:t xml:space="preserve">6</w:t>
            </w:r>
          </w:p>
        </w:tc>
        <w:tc>
          <w:tcPr>
            <w:tcW w:type="pct" w:w="14%"/>
            <w:shd w:fill="E8ECEB" w:val="clear"/>
            <w:tcMar>
              <w:top w:type="dxa" w:w="50"/>
              <w:left w:type="dxa" w:w="120"/>
              <w:bottom w:type="dxa" w:w="50"/>
              <w:right w:type="dxa" w:w="120"/>
            </w:tcMar>
          </w:tcPr>
          <w:p>
            <w:r>
              <w:rPr>
                <w:rFonts w:ascii="Calibri"/>
                <w:color w:val="1A2B40"/>
                <w:sz w:val="21"/>
                <w:szCs w:val="21"/>
              </w:rPr>
              <w:t xml:space="preserve">Dec 23</w:t>
            </w:r>
          </w:p>
        </w:tc>
        <w:tc>
          <w:tcPr>
            <w:tcW w:type="pct" w:w="12%"/>
            <w:shd w:fill="E8ECEB" w:val="clear"/>
            <w:tcMar>
              <w:top w:type="dxa" w:w="50"/>
              <w:left w:type="dxa" w:w="120"/>
              <w:bottom w:type="dxa" w:w="50"/>
              <w:right w:type="dxa" w:w="120"/>
            </w:tcMar>
          </w:tcPr>
          <w:p>
            <w:r>
              <w:rPr>
                <w:rFonts w:ascii="Calibri"/>
                <w:color w:val="1A2B40"/>
                <w:sz w:val="21"/>
                <w:szCs w:val="21"/>
              </w:rPr>
              <w:t xml:space="preserve">-8.7%</w:t>
            </w:r>
          </w:p>
        </w:tc>
        <w:tc>
          <w:tcPr>
            <w:tcW w:type="pct" w:w="14%"/>
            <w:shd w:fill="E8ECEB" w:val="clear"/>
            <w:tcMar>
              <w:top w:type="dxa" w:w="50"/>
              <w:left w:type="dxa" w:w="120"/>
              <w:bottom w:type="dxa" w:w="50"/>
              <w:right w:type="dxa" w:w="120"/>
            </w:tcMar>
          </w:tcPr>
          <w:p>
            <w:r>
              <w:rPr>
                <w:rFonts w:ascii="Calibri"/>
                <w:color w:val="1A2B40"/>
                <w:sz w:val="21"/>
                <w:szCs w:val="21"/>
              </w:rPr>
              <w:t xml:space="preserve">Dec 22</w:t>
            </w:r>
          </w:p>
        </w:tc>
        <w:tc>
          <w:tcPr>
            <w:tcW w:type="pct" w:w="12%"/>
            <w:shd w:fill="E8ECEB" w:val="clear"/>
            <w:tcMar>
              <w:top w:type="dxa" w:w="50"/>
              <w:left w:type="dxa" w:w="120"/>
              <w:bottom w:type="dxa" w:w="50"/>
              <w:right w:type="dxa" w:w="120"/>
            </w:tcMar>
          </w:tcPr>
          <w:p>
            <w:r>
              <w:rPr>
                <w:rFonts w:ascii="Calibri"/>
                <w:color w:val="1A2B40"/>
                <w:sz w:val="21"/>
                <w:szCs w:val="21"/>
              </w:rPr>
              <w:t xml:space="preserve">-1.5%</w:t>
            </w:r>
          </w:p>
        </w:tc>
        <w:tc>
          <w:tcPr>
            <w:tcW w:type="pct" w:w="40%"/>
            <w:shd w:fill="E8ECEB" w:val="clear"/>
            <w:tcMar>
              <w:top w:type="dxa" w:w="50"/>
              <w:left w:type="dxa" w:w="120"/>
              <w:bottom w:type="dxa" w:w="50"/>
              <w:right w:type="dxa" w:w="120"/>
            </w:tcMar>
          </w:tcPr>
          <w:p>
            <w:r>
              <w:rPr>
                <w:rFonts w:ascii="Calibri"/>
                <w:color w:val="1A2B40"/>
                <w:sz w:val="21"/>
                <w:szCs w:val="21"/>
              </w:rPr>
              <w:t xml:space="preserve">v7 exits faster (smaller loss)</w:t>
            </w:r>
          </w:p>
        </w:tc>
      </w:tr>
      <w:tr>
        <w:trPr>
          <w:cantSplit/>
        </w:trPr>
        <w:tc>
          <w:tcPr>
            <w:tcW w:type="pct" w:w="8%"/>
            <w:tcMar>
              <w:top w:type="dxa" w:w="50"/>
              <w:left w:type="dxa" w:w="120"/>
              <w:bottom w:type="dxa" w:w="50"/>
              <w:right w:type="dxa" w:w="120"/>
            </w:tcMar>
          </w:tcPr>
          <w:p>
            <w:r>
              <w:rPr>
                <w:rFonts w:ascii="Calibri"/>
                <w:color w:val="1A2B40"/>
                <w:sz w:val="21"/>
                <w:szCs w:val="21"/>
              </w:rPr>
              <w:t xml:space="preserve">7</w:t>
            </w:r>
          </w:p>
        </w:tc>
        <w:tc>
          <w:tcPr>
            <w:tcW w:type="pct" w:w="14%"/>
            <w:tcMar>
              <w:top w:type="dxa" w:w="50"/>
              <w:left w:type="dxa" w:w="120"/>
              <w:bottom w:type="dxa" w:w="50"/>
              <w:right w:type="dxa" w:w="120"/>
            </w:tcMar>
          </w:tcPr>
          <w:p>
            <w:r>
              <w:rPr>
                <w:rFonts w:ascii="Calibri"/>
                <w:color w:val="1A2B40"/>
                <w:sz w:val="21"/>
                <w:szCs w:val="21"/>
              </w:rPr>
              <w:t xml:space="preserve">Jan 30</w:t>
            </w:r>
          </w:p>
        </w:tc>
        <w:tc>
          <w:tcPr>
            <w:tcW w:type="pct" w:w="12%"/>
            <w:tcMar>
              <w:top w:type="dxa" w:w="50"/>
              <w:left w:type="dxa" w:w="120"/>
              <w:bottom w:type="dxa" w:w="50"/>
              <w:right w:type="dxa" w:w="120"/>
            </w:tcMar>
          </w:tcPr>
          <w:p>
            <w:r>
              <w:rPr>
                <w:rFonts w:ascii="Calibri"/>
                <w:color w:val="1A2B40"/>
                <w:sz w:val="21"/>
                <w:szCs w:val="21"/>
              </w:rPr>
              <w:t xml:space="preserve">-11.1%</w:t>
            </w:r>
          </w:p>
        </w:tc>
        <w:tc>
          <w:tcPr>
            <w:tcW w:type="pct" w:w="14%"/>
            <w:tcMar>
              <w:top w:type="dxa" w:w="50"/>
              <w:left w:type="dxa" w:w="120"/>
              <w:bottom w:type="dxa" w:w="50"/>
              <w:right w:type="dxa" w:w="120"/>
            </w:tcMar>
          </w:tcPr>
          <w:p>
            <w:r>
              <w:rPr>
                <w:rFonts w:ascii="Calibri"/>
                <w:color w:val="1A2B40"/>
                <w:sz w:val="21"/>
                <w:szCs w:val="21"/>
              </w:rPr>
              <w:t xml:space="preserve">Jan 29</w:t>
            </w:r>
          </w:p>
        </w:tc>
        <w:tc>
          <w:tcPr>
            <w:tcW w:type="pct" w:w="12%"/>
            <w:tcMar>
              <w:top w:type="dxa" w:w="50"/>
              <w:left w:type="dxa" w:w="120"/>
              <w:bottom w:type="dxa" w:w="50"/>
              <w:right w:type="dxa" w:w="120"/>
            </w:tcMar>
          </w:tcPr>
          <w:p>
            <w:r>
              <w:rPr>
                <w:rFonts w:ascii="Calibri"/>
                <w:color w:val="1A2B40"/>
                <w:sz w:val="21"/>
                <w:szCs w:val="21"/>
              </w:rPr>
              <w:t xml:space="preserve">-8.4%</w:t>
            </w:r>
          </w:p>
        </w:tc>
        <w:tc>
          <w:tcPr>
            <w:tcW w:type="pct" w:w="40%"/>
            <w:tcMar>
              <w:top w:type="dxa" w:w="50"/>
              <w:left w:type="dxa" w:w="120"/>
              <w:bottom w:type="dxa" w:w="50"/>
              <w:right w:type="dxa" w:w="120"/>
            </w:tcMar>
          </w:tcPr>
          <w:p>
            <w:r>
              <w:rPr>
                <w:rFonts w:ascii="Calibri"/>
                <w:color w:val="1A2B40"/>
                <w:sz w:val="21"/>
                <w:szCs w:val="21"/>
              </w:rPr>
              <w:t xml:space="preserve">v7 exits same day, smaller loss</w:t>
            </w:r>
          </w:p>
        </w:tc>
      </w:tr>
      <w:tr>
        <w:trPr>
          <w:cantSplit/>
        </w:trPr>
        <w:tc>
          <w:tcPr>
            <w:tcW w:type="pct" w:w="8%"/>
            <w:shd w:fill="E8ECEB" w:val="clear"/>
            <w:tcMar>
              <w:top w:type="dxa" w:w="50"/>
              <w:left w:type="dxa" w:w="120"/>
              <w:bottom w:type="dxa" w:w="50"/>
              <w:right w:type="dxa" w:w="120"/>
            </w:tcMar>
          </w:tcPr>
          <w:p>
            <w:r>
              <w:rPr>
                <w:rFonts w:ascii="Calibri"/>
                <w:color w:val="1A2B40"/>
                <w:sz w:val="21"/>
                <w:szCs w:val="21"/>
              </w:rPr>
              <w:t xml:space="preserve">8</w:t>
            </w:r>
          </w:p>
        </w:tc>
        <w:tc>
          <w:tcPr>
            <w:tcW w:type="pct" w:w="14%"/>
            <w:shd w:fill="E8ECEB" w:val="clear"/>
            <w:tcMar>
              <w:top w:type="dxa" w:w="50"/>
              <w:left w:type="dxa" w:w="120"/>
              <w:bottom w:type="dxa" w:w="50"/>
              <w:right w:type="dxa" w:w="120"/>
            </w:tcMar>
          </w:tcPr>
          <w:p>
            <w:r>
              <w:rPr>
                <w:rFonts w:ascii="Calibri"/>
                <w:color w:val="1A2B40"/>
                <w:sz w:val="21"/>
                <w:szCs w:val="21"/>
              </w:rPr>
              <w:t xml:space="preserve">Apr 08</w:t>
            </w:r>
          </w:p>
        </w:tc>
        <w:tc>
          <w:tcPr>
            <w:tcW w:type="pct" w:w="12%"/>
            <w:shd w:fill="E8ECEB" w:val="clear"/>
            <w:tcMar>
              <w:top w:type="dxa" w:w="50"/>
              <w:left w:type="dxa" w:w="120"/>
              <w:bottom w:type="dxa" w:w="50"/>
              <w:right w:type="dxa" w:w="120"/>
            </w:tcMar>
          </w:tcPr>
          <w:p>
            <w:r>
              <w:rPr>
                <w:rFonts w:ascii="Calibri"/>
                <w:color w:val="1A2B40"/>
                <w:sz w:val="21"/>
                <w:szCs w:val="21"/>
              </w:rPr>
              <w:t xml:space="preserve">+110.9%</w:t>
            </w:r>
          </w:p>
        </w:tc>
        <w:tc>
          <w:tcPr>
            <w:tcW w:type="pct" w:w="14%"/>
            <w:shd w:fill="E8ECEB" w:val="clear"/>
            <w:tcMar>
              <w:top w:type="dxa" w:w="50"/>
              <w:left w:type="dxa" w:w="120"/>
              <w:bottom w:type="dxa" w:w="50"/>
              <w:right w:type="dxa" w:w="120"/>
            </w:tcMar>
          </w:tcPr>
          <w:p>
            <w:r>
              <w:rPr>
                <w:rFonts w:ascii="Calibri"/>
                <w:color w:val="1A2B40"/>
                <w:sz w:val="21"/>
                <w:szCs w:val="21"/>
              </w:rPr>
              <w:t xml:space="preserve">Apr 10</w:t>
            </w:r>
          </w:p>
        </w:tc>
        <w:tc>
          <w:tcPr>
            <w:tcW w:type="pct" w:w="12%"/>
            <w:shd w:fill="E8ECEB" w:val="clear"/>
            <w:tcMar>
              <w:top w:type="dxa" w:w="50"/>
              <w:left w:type="dxa" w:w="120"/>
              <w:bottom w:type="dxa" w:w="50"/>
              <w:right w:type="dxa" w:w="120"/>
            </w:tcMar>
          </w:tcPr>
          <w:p>
            <w:r>
              <w:rPr>
                <w:rFonts w:ascii="Calibri"/>
                <w:color w:val="1A2B40"/>
                <w:sz w:val="21"/>
                <w:szCs w:val="21"/>
              </w:rPr>
              <w:t xml:space="preserve">+43.4%</w:t>
            </w:r>
          </w:p>
        </w:tc>
        <w:tc>
          <w:tcPr>
            <w:tcW w:type="pct" w:w="40%"/>
            <w:shd w:fill="E8ECEB" w:val="clear"/>
            <w:tcMar>
              <w:top w:type="dxa" w:w="50"/>
              <w:left w:type="dxa" w:w="120"/>
              <w:bottom w:type="dxa" w:w="50"/>
              <w:right w:type="dxa" w:w="120"/>
            </w:tcMar>
          </w:tcPr>
          <w:p>
            <w:r>
              <w:rPr>
                <w:rFonts w:ascii="Calibri"/>
                <w:color w:val="1A2B40"/>
                <w:sz w:val="21"/>
                <w:szCs w:val="21"/>
              </w:rPr>
              <w:t xml:space="preserve">v7 enters 2 days late, no div exit</w:t>
            </w:r>
          </w:p>
        </w:tc>
      </w:tr>
      <w:tr>
        <w:trPr>
          <w:cantSplit/>
        </w:trPr>
        <w:tc>
          <w:tcPr>
            <w:tcW w:type="pct" w:w="8%"/>
            <w:tcMar>
              <w:top w:type="dxa" w:w="50"/>
              <w:left w:type="dxa" w:w="120"/>
              <w:bottom w:type="dxa" w:w="50"/>
              <w:right w:type="dxa" w:w="120"/>
            </w:tcMar>
          </w:tcPr>
          <w:p>
            <w:r>
              <w:rPr>
                <w:rFonts w:ascii="Calibri"/>
                <w:color w:val="1A2B40"/>
                <w:sz w:val="21"/>
                <w:szCs w:val="21"/>
              </w:rPr>
              <w:t xml:space="preserve">9</w:t>
            </w:r>
          </w:p>
        </w:tc>
        <w:tc>
          <w:tcPr>
            <w:tcW w:type="pct" w:w="14%"/>
            <w:tcMar>
              <w:top w:type="dxa" w:w="50"/>
              <w:left w:type="dxa" w:w="120"/>
              <w:bottom w:type="dxa" w:w="50"/>
              <w:right w:type="dxa" w:w="120"/>
            </w:tcMar>
          </w:tcPr>
          <w:p>
            <w:r>
              <w:rPr>
                <w:rFonts w:ascii="Calibri"/>
                <w:color w:val="1A2B40"/>
                <w:sz w:val="21"/>
                <w:szCs w:val="21"/>
              </w:rPr>
              <w:t xml:space="preserve">Jun 18</w:t>
            </w:r>
          </w:p>
        </w:tc>
        <w:tc>
          <w:tcPr>
            <w:tcW w:type="pct" w:w="12%"/>
            <w:tcMar>
              <w:top w:type="dxa" w:w="50"/>
              <w:left w:type="dxa" w:w="120"/>
              <w:bottom w:type="dxa" w:w="50"/>
              <w:right w:type="dxa" w:w="120"/>
            </w:tcMar>
          </w:tcPr>
          <w:p>
            <w:r>
              <w:rPr>
                <w:rFonts w:ascii="Calibri"/>
                <w:color w:val="1A2B40"/>
                <w:sz w:val="21"/>
                <w:szCs w:val="21"/>
              </w:rPr>
              <w:t xml:space="preserve">+5.5%</w:t>
            </w:r>
          </w:p>
        </w:tc>
        <w:tc>
          <w:tcPr>
            <w:tcW w:type="pct" w:w="14%"/>
            <w:tcMar>
              <w:top w:type="dxa" w:w="50"/>
              <w:left w:type="dxa" w:w="120"/>
              <w:bottom w:type="dxa" w:w="50"/>
              <w:right w:type="dxa" w:w="120"/>
            </w:tcMar>
          </w:tcPr>
          <w:p>
            <w:r>
              <w:rPr>
                <w:rFonts w:ascii="Calibri"/>
                <w:color w:val="1A2B40"/>
                <w:sz w:val="21"/>
                <w:szCs w:val="21"/>
              </w:rPr>
              <w:t xml:space="preserve">May 26</w:t>
            </w:r>
          </w:p>
        </w:tc>
        <w:tc>
          <w:tcPr>
            <w:tcW w:type="pct" w:w="12%"/>
            <w:tcMar>
              <w:top w:type="dxa" w:w="50"/>
              <w:left w:type="dxa" w:w="120"/>
              <w:bottom w:type="dxa" w:w="50"/>
              <w:right w:type="dxa" w:w="120"/>
            </w:tcMar>
          </w:tcPr>
          <w:p>
            <w:r>
              <w:rPr>
                <w:rFonts w:ascii="Calibri"/>
                <w:color w:val="1A2B40"/>
                <w:sz w:val="21"/>
                <w:szCs w:val="21"/>
              </w:rPr>
              <w:t xml:space="preserve">+1.7%</w:t>
            </w:r>
          </w:p>
        </w:tc>
        <w:tc>
          <w:tcPr>
            <w:tcW w:type="pct" w:w="40%"/>
            <w:tcMar>
              <w:top w:type="dxa" w:w="50"/>
              <w:left w:type="dxa" w:w="120"/>
              <w:bottom w:type="dxa" w:w="50"/>
              <w:right w:type="dxa" w:w="120"/>
            </w:tcMar>
          </w:tcPr>
          <w:p>
            <w:r>
              <w:rPr>
                <w:rFonts w:ascii="Calibri"/>
                <w:color w:val="1A2B40"/>
                <w:sz w:val="21"/>
                <w:szCs w:val="21"/>
              </w:rPr>
              <w:t xml:space="preserve">Different entry timing</w:t>
            </w:r>
          </w:p>
        </w:tc>
      </w:tr>
      <w:tr>
        <w:trPr>
          <w:cantSplit/>
        </w:trPr>
        <w:tc>
          <w:tcPr>
            <w:tcW w:type="pct" w:w="8%"/>
            <w:shd w:fill="E8ECEB" w:val="clear"/>
            <w:tcMar>
              <w:top w:type="dxa" w:w="50"/>
              <w:left w:type="dxa" w:w="120"/>
              <w:bottom w:type="dxa" w:w="50"/>
              <w:right w:type="dxa" w:w="120"/>
            </w:tcMar>
          </w:tcPr>
          <w:p>
            <w:r>
              <w:rPr>
                <w:rFonts w:ascii="Calibri"/>
                <w:color w:val="1A2B40"/>
                <w:sz w:val="21"/>
                <w:szCs w:val="21"/>
              </w:rPr>
              <w:t xml:space="preserve">10</w:t>
            </w:r>
          </w:p>
        </w:tc>
        <w:tc>
          <w:tcPr>
            <w:tcW w:type="pct" w:w="14%"/>
            <w:shd w:fill="E8ECEB" w:val="clear"/>
            <w:tcMar>
              <w:top w:type="dxa" w:w="50"/>
              <w:left w:type="dxa" w:w="120"/>
              <w:bottom w:type="dxa" w:w="50"/>
              <w:right w:type="dxa" w:w="120"/>
            </w:tcMar>
          </w:tcPr>
          <w:p>
            <w:r>
              <w:rPr>
                <w:rFonts w:ascii="Calibri"/>
                <w:color w:val="1A2B40"/>
                <w:sz w:val="21"/>
                <w:szCs w:val="21"/>
              </w:rPr>
              <w:t xml:space="preserve">Jul 06</w:t>
            </w:r>
          </w:p>
        </w:tc>
        <w:tc>
          <w:tcPr>
            <w:tcW w:type="pct" w:w="12%"/>
            <w:shd w:fill="E8ECEB" w:val="clear"/>
            <w:tcMar>
              <w:top w:type="dxa" w:w="50"/>
              <w:left w:type="dxa" w:w="120"/>
              <w:bottom w:type="dxa" w:w="50"/>
              <w:right w:type="dxa" w:w="120"/>
            </w:tcMar>
          </w:tcPr>
          <w:p>
            <w:r>
              <w:rPr>
                <w:rFonts w:ascii="Calibri"/>
                <w:color w:val="1A2B40"/>
                <w:sz w:val="21"/>
                <w:szCs w:val="21"/>
              </w:rPr>
              <w:t xml:space="preserve">-3.5%</w:t>
            </w:r>
          </w:p>
        </w:tc>
        <w:tc>
          <w:tcPr>
            <w:tcW w:type="pct" w:w="14%"/>
            <w:shd w:fill="E8ECEB" w:val="clear"/>
            <w:tcMar>
              <w:top w:type="dxa" w:w="50"/>
              <w:left w:type="dxa" w:w="120"/>
              <w:bottom w:type="dxa" w:w="50"/>
              <w:right w:type="dxa" w:w="120"/>
            </w:tcMar>
          </w:tcPr>
          <w:p>
            <w:r>
              <w:rPr>
                <w:rFonts w:ascii="Calibri"/>
                <w:color w:val="1A2B40"/>
                <w:sz w:val="21"/>
                <w:szCs w:val="21"/>
              </w:rPr>
              <w:t xml:space="preserve">Jun 15</w:t>
            </w:r>
          </w:p>
        </w:tc>
        <w:tc>
          <w:tcPr>
            <w:tcW w:type="pct" w:w="12%"/>
            <w:shd w:fill="E8ECEB" w:val="clear"/>
            <w:tcMar>
              <w:top w:type="dxa" w:w="50"/>
              <w:left w:type="dxa" w:w="120"/>
              <w:bottom w:type="dxa" w:w="50"/>
              <w:right w:type="dxa" w:w="120"/>
            </w:tcMar>
          </w:tcPr>
          <w:p>
            <w:r>
              <w:rPr>
                <w:rFonts w:ascii="Calibri"/>
                <w:color w:val="1A2B40"/>
                <w:sz w:val="21"/>
                <w:szCs w:val="21"/>
              </w:rPr>
              <w:t xml:space="preserve">+4.3%</w:t>
            </w:r>
          </w:p>
        </w:tc>
        <w:tc>
          <w:tcPr>
            <w:tcW w:type="pct" w:w="40%"/>
            <w:shd w:fill="E8ECEB" w:val="clear"/>
            <w:tcMar>
              <w:top w:type="dxa" w:w="50"/>
              <w:left w:type="dxa" w:w="120"/>
              <w:bottom w:type="dxa" w:w="50"/>
              <w:right w:type="dxa" w:w="120"/>
            </w:tcMar>
          </w:tcPr>
          <w:p>
            <w:r>
              <w:rPr>
                <w:rFonts w:ascii="Calibri"/>
                <w:color w:val="1A2B40"/>
                <w:sz w:val="21"/>
                <w:szCs w:val="21"/>
              </w:rPr>
              <w:t xml:space="preserve">v7 captures gain instead</w:t>
            </w:r>
          </w:p>
        </w:tc>
      </w:tr>
    </w:tbl>
    <w:p>
      <w:pPr>
        <w:spacing w:after="120" w:line="312"/>
        <w:jc w:val="both"/>
      </w:pPr>
      <w:r>
        <w:rPr>
          <w:rFonts w:ascii="Calibri" w:eastAsia="Microsoft YaHei"/>
          <w:color w:val="1A2B40"/>
          <w:sz w:val="24"/>
          <w:szCs w:val="24"/>
        </w:rPr>
        <w:t xml:space="preserve">Table 4: Complete trade-by-trade comparison between v6 and v7.</w:t>
      </w:r>
    </w:p>
    <w:p>
      <w:pPr>
        <w:spacing w:after="120" w:line="312"/>
        <w:ind w:firstLine="480"/>
        <w:jc w:val="both"/>
      </w:pPr>
      <w:r>
        <w:rPr>
          <w:rFonts w:ascii="Calibri" w:eastAsia="Microsoft YaHei"/>
          <w:color w:val="1A2B40"/>
          <w:sz w:val="24"/>
          <w:szCs w:val="24"/>
        </w:rPr>
        <w:t xml:space="preserve">The blocked Trade 2 (May 6 entry, +80.5% gain) is the single largest P&amp;L loss between the two versions. This trade was entered at 118.58 on a score of 77.79, held through a FULL ENTRY zone (peak score 81.84), and exited via divergence on June 23 at 214 when RSI dropped from 77.24 to 68.74. In v7, the entry was blocked because the score at the equivalent date fell below 75 due to BC decay removing approximately 5 points of bonus contribution. This one trade accounts for approximately 30% of the total P&amp;L difference between the two versions.</w:t>
      </w:r>
    </w:p>
    <w:p>
      <w:pPr>
        <w:spacing w:after="120" w:line="312"/>
        <w:ind w:firstLine="480"/>
        <w:jc w:val="both"/>
      </w:pPr>
      <w:r>
        <w:rPr>
          <w:rFonts w:ascii="Calibri" w:eastAsia="Microsoft YaHei"/>
          <w:color w:val="1A2B40"/>
          <w:sz w:val="24"/>
          <w:szCs w:val="24"/>
        </w:rPr>
        <w:t xml:space="preserve">Trade 8 (April 8 in v6, April 10 in v7) demonstrates another subtlety. Both versions captured this trade, but v7 entered two days later and exited via score &lt; 50 rather than divergence. The v6 divergence exit at +110.9% was triggered on June 17 when RSI dropped from 77.12 to 66.33 (10.79 point drop). The v7 score-based exit on May 19 at +43.4% was far earlier, suggesting that the stateful divergence mechanism is superior to score-based exits for large trend trades. The divergence exit captured an additional 67.5 percentage points of gain.</w:t>
      </w:r>
    </w:p>
    <w:p>
      <w:pPr>
        <w:pStyle w:val="Heading1"/>
        <w:spacing w:after="160" w:before="360" w:line="312"/>
      </w:pPr>
      <w:bookmarkStart w:id="100010" w:name="_Toc100010"/>
      <w:r>
        <w:rPr>
          <w:rFonts w:ascii="Calibri" w:eastAsia="SimHei"/>
          <w:b/>
          <w:bCs/>
          <w:color w:val="101820"/>
          <w:sz w:val="32"/>
          <w:szCs w:val="32"/>
        </w:rPr>
        <w:t xml:space="preserve">5. Signal Pool Utilization Impact</w:t>
      </w:r>
      <w:bookmarkEnd w:id="100010"/>
    </w:p>
    <w:p>
      <w:pPr>
        <w:spacing w:after="120" w:line="312"/>
        <w:ind w:firstLine="480"/>
        <w:jc w:val="both"/>
      </w:pPr>
      <w:r>
        <w:rPr>
          <w:rFonts w:ascii="Calibri" w:eastAsia="Microsoft YaHei"/>
          <w:color w:val="1A2B40"/>
          <w:sz w:val="24"/>
          <w:szCs w:val="24"/>
        </w:rPr>
        <w:t xml:space="preserve">The signal pool analysis confirms that the core scoring engine (Pools A, B, C) remained remarkably stable between v6 and v7. Pool A averaged 24.1 vs 24.0, Pool B averaged 14.4 vs 14.5, and Pool C averaged 12.6 vs 12.6. Bonus A and Bonus B were also stable at 4.6 and 5.2 respectively. The only pool that changed meaningfully was Bonus C, which dropped from 2.9 to 0.4 average points per day, an 86% decline that directly accounts for the 2.4-point average score decrease.</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gridCol w:w="100"/>
      </w:tblGrid>
      <w:tr>
        <w:trPr>
          <w:cantSplit/>
          <w:tblHeader/>
        </w:trPr>
        <w:tc>
          <w:tcPr>
            <w:tcW w:type="pct" w:w="22%"/>
            <w:shd w:fill="529286" w:val="clear"/>
            <w:tcMar>
              <w:top w:type="dxa" w:w="60"/>
              <w:left w:type="dxa" w:w="120"/>
              <w:bottom w:type="dxa" w:w="60"/>
              <w:right w:type="dxa" w:w="120"/>
            </w:tcMar>
          </w:tcPr>
          <w:p>
            <w:r>
              <w:rPr>
                <w:rFonts w:ascii="Calibri"/>
                <w:b/>
                <w:bCs/>
                <w:color w:val="FFFFFF"/>
                <w:sz w:val="21"/>
                <w:szCs w:val="21"/>
              </w:rPr>
              <w:t xml:space="preserve">Pool</w:t>
            </w:r>
          </w:p>
        </w:tc>
        <w:tc>
          <w:tcPr>
            <w:tcW w:type="pct" w:w="16%"/>
            <w:shd w:fill="529286" w:val="clear"/>
            <w:tcMar>
              <w:top w:type="dxa" w:w="60"/>
              <w:left w:type="dxa" w:w="120"/>
              <w:bottom w:type="dxa" w:w="60"/>
              <w:right w:type="dxa" w:w="120"/>
            </w:tcMar>
          </w:tcPr>
          <w:p>
            <w:r>
              <w:rPr>
                <w:rFonts w:ascii="Calibri"/>
                <w:b/>
                <w:bCs/>
                <w:color w:val="FFFFFF"/>
                <w:sz w:val="21"/>
                <w:szCs w:val="21"/>
              </w:rPr>
              <w:t xml:space="preserve">v6 Avg/Day</w:t>
            </w:r>
          </w:p>
        </w:tc>
        <w:tc>
          <w:tcPr>
            <w:tcW w:type="pct" w:w="16%"/>
            <w:shd w:fill="529286" w:val="clear"/>
            <w:tcMar>
              <w:top w:type="dxa" w:w="60"/>
              <w:left w:type="dxa" w:w="120"/>
              <w:bottom w:type="dxa" w:w="60"/>
              <w:right w:type="dxa" w:w="120"/>
            </w:tcMar>
          </w:tcPr>
          <w:p>
            <w:r>
              <w:rPr>
                <w:rFonts w:ascii="Calibri"/>
                <w:b/>
                <w:bCs/>
                <w:color w:val="FFFFFF"/>
                <w:sz w:val="21"/>
                <w:szCs w:val="21"/>
              </w:rPr>
              <w:t xml:space="preserve">v7 Avg/Day</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v6 Utilization</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v7 Utilization</w:t>
            </w:r>
          </w:p>
        </w:tc>
        <w:tc>
          <w:tcPr>
            <w:tcW w:type="pct" w:w="10%"/>
            <w:shd w:fill="529286" w:val="clear"/>
            <w:tcMar>
              <w:top w:type="dxa" w:w="60"/>
              <w:left w:type="dxa" w:w="120"/>
              <w:bottom w:type="dxa" w:w="60"/>
              <w:right w:type="dxa" w:w="120"/>
            </w:tcMar>
          </w:tcPr>
          <w:p>
            <w:r>
              <w:rPr>
                <w:rFonts w:ascii="Calibri"/>
                <w:b/>
                <w:bCs/>
                <w:color w:val="FFFFFF"/>
                <w:sz w:val="21"/>
                <w:szCs w:val="21"/>
              </w:rPr>
              <w:t xml:space="preserve">Status</w:t>
            </w:r>
          </w:p>
        </w:tc>
      </w:tr>
      <w:tr>
        <w:trPr>
          <w:cantSplit/>
        </w:trPr>
        <w:tc>
          <w:tcPr>
            <w:tcW w:type="pct" w:w="22%"/>
            <w:tcMar>
              <w:top w:type="dxa" w:w="50"/>
              <w:left w:type="dxa" w:w="120"/>
              <w:bottom w:type="dxa" w:w="50"/>
              <w:right w:type="dxa" w:w="120"/>
            </w:tcMar>
          </w:tcPr>
          <w:p>
            <w:r>
              <w:rPr>
                <w:rFonts w:ascii="Calibri"/>
                <w:color w:val="1A2B40"/>
                <w:sz w:val="21"/>
                <w:szCs w:val="21"/>
              </w:rPr>
              <w:t xml:space="preserve">Pool A (max 42)</w:t>
            </w:r>
          </w:p>
        </w:tc>
        <w:tc>
          <w:tcPr>
            <w:tcW w:type="pct" w:w="16%"/>
            <w:tcMar>
              <w:top w:type="dxa" w:w="50"/>
              <w:left w:type="dxa" w:w="120"/>
              <w:bottom w:type="dxa" w:w="50"/>
              <w:right w:type="dxa" w:w="120"/>
            </w:tcMar>
          </w:tcPr>
          <w:p>
            <w:r>
              <w:rPr>
                <w:rFonts w:ascii="Calibri"/>
                <w:color w:val="1A2B40"/>
                <w:sz w:val="21"/>
                <w:szCs w:val="21"/>
              </w:rPr>
              <w:t xml:space="preserve">24.1</w:t>
            </w:r>
          </w:p>
        </w:tc>
        <w:tc>
          <w:tcPr>
            <w:tcW w:type="pct" w:w="16%"/>
            <w:tcMar>
              <w:top w:type="dxa" w:w="50"/>
              <w:left w:type="dxa" w:w="120"/>
              <w:bottom w:type="dxa" w:w="50"/>
              <w:right w:type="dxa" w:w="120"/>
            </w:tcMar>
          </w:tcPr>
          <w:p>
            <w:r>
              <w:rPr>
                <w:rFonts w:ascii="Calibri"/>
                <w:color w:val="1A2B40"/>
                <w:sz w:val="21"/>
                <w:szCs w:val="21"/>
              </w:rPr>
              <w:t xml:space="preserve">24.0</w:t>
            </w:r>
          </w:p>
        </w:tc>
        <w:tc>
          <w:tcPr>
            <w:tcW w:type="pct" w:w="18%"/>
            <w:tcMar>
              <w:top w:type="dxa" w:w="50"/>
              <w:left w:type="dxa" w:w="120"/>
              <w:bottom w:type="dxa" w:w="50"/>
              <w:right w:type="dxa" w:w="120"/>
            </w:tcMar>
          </w:tcPr>
          <w:p>
            <w:r>
              <w:rPr>
                <w:rFonts w:ascii="Calibri"/>
                <w:color w:val="1A2B40"/>
                <w:sz w:val="21"/>
                <w:szCs w:val="21"/>
              </w:rPr>
              <w:t xml:space="preserve">57%</w:t>
            </w:r>
          </w:p>
        </w:tc>
        <w:tc>
          <w:tcPr>
            <w:tcW w:type="pct" w:w="18%"/>
            <w:tcMar>
              <w:top w:type="dxa" w:w="50"/>
              <w:left w:type="dxa" w:w="120"/>
              <w:bottom w:type="dxa" w:w="50"/>
              <w:right w:type="dxa" w:w="120"/>
            </w:tcMar>
          </w:tcPr>
          <w:p>
            <w:r>
              <w:rPr>
                <w:rFonts w:ascii="Calibri"/>
                <w:color w:val="1A2B40"/>
                <w:sz w:val="21"/>
                <w:szCs w:val="21"/>
              </w:rPr>
              <w:t xml:space="preserve">57%</w:t>
            </w:r>
          </w:p>
        </w:tc>
        <w:tc>
          <w:tcPr>
            <w:tcW w:type="pct" w:w="10%"/>
            <w:tcMar>
              <w:top w:type="dxa" w:w="50"/>
              <w:left w:type="dxa" w:w="120"/>
              <w:bottom w:type="dxa" w:w="50"/>
              <w:right w:type="dxa" w:w="120"/>
            </w:tcMar>
          </w:tcPr>
          <w:p>
            <w:r>
              <w:rPr>
                <w:rFonts w:ascii="Calibri"/>
                <w:color w:val="1A2B40"/>
                <w:sz w:val="21"/>
                <w:szCs w:val="21"/>
              </w:rPr>
              <w:t xml:space="preserve">Stable</w:t>
            </w:r>
          </w:p>
        </w:tc>
      </w:tr>
      <w:tr>
        <w:trPr>
          <w:cantSplit/>
        </w:trPr>
        <w:tc>
          <w:tcPr>
            <w:tcW w:type="pct" w:w="22%"/>
            <w:shd w:fill="E8ECEB" w:val="clear"/>
            <w:tcMar>
              <w:top w:type="dxa" w:w="50"/>
              <w:left w:type="dxa" w:w="120"/>
              <w:bottom w:type="dxa" w:w="50"/>
              <w:right w:type="dxa" w:w="120"/>
            </w:tcMar>
          </w:tcPr>
          <w:p>
            <w:r>
              <w:rPr>
                <w:rFonts w:ascii="Calibri"/>
                <w:color w:val="1A2B40"/>
                <w:sz w:val="21"/>
                <w:szCs w:val="21"/>
              </w:rPr>
              <w:t xml:space="preserve">Pool B (max 30)</w:t>
            </w:r>
          </w:p>
        </w:tc>
        <w:tc>
          <w:tcPr>
            <w:tcW w:type="pct" w:w="16%"/>
            <w:shd w:fill="E8ECEB" w:val="clear"/>
            <w:tcMar>
              <w:top w:type="dxa" w:w="50"/>
              <w:left w:type="dxa" w:w="120"/>
              <w:bottom w:type="dxa" w:w="50"/>
              <w:right w:type="dxa" w:w="120"/>
            </w:tcMar>
          </w:tcPr>
          <w:p>
            <w:r>
              <w:rPr>
                <w:rFonts w:ascii="Calibri"/>
                <w:color w:val="1A2B40"/>
                <w:sz w:val="21"/>
                <w:szCs w:val="21"/>
              </w:rPr>
              <w:t xml:space="preserve">14.4</w:t>
            </w:r>
          </w:p>
        </w:tc>
        <w:tc>
          <w:tcPr>
            <w:tcW w:type="pct" w:w="16%"/>
            <w:shd w:fill="E8ECEB" w:val="clear"/>
            <w:tcMar>
              <w:top w:type="dxa" w:w="50"/>
              <w:left w:type="dxa" w:w="120"/>
              <w:bottom w:type="dxa" w:w="50"/>
              <w:right w:type="dxa" w:w="120"/>
            </w:tcMar>
          </w:tcPr>
          <w:p>
            <w:r>
              <w:rPr>
                <w:rFonts w:ascii="Calibri"/>
                <w:color w:val="1A2B40"/>
                <w:sz w:val="21"/>
                <w:szCs w:val="21"/>
              </w:rPr>
              <w:t xml:space="preserve">14.5</w:t>
            </w:r>
          </w:p>
        </w:tc>
        <w:tc>
          <w:tcPr>
            <w:tcW w:type="pct" w:w="18%"/>
            <w:shd w:fill="E8ECEB" w:val="clear"/>
            <w:tcMar>
              <w:top w:type="dxa" w:w="50"/>
              <w:left w:type="dxa" w:w="120"/>
              <w:bottom w:type="dxa" w:w="50"/>
              <w:right w:type="dxa" w:w="120"/>
            </w:tcMar>
          </w:tcPr>
          <w:p>
            <w:r>
              <w:rPr>
                <w:rFonts w:ascii="Calibri"/>
                <w:color w:val="1A2B40"/>
                <w:sz w:val="21"/>
                <w:szCs w:val="21"/>
              </w:rPr>
              <w:t xml:space="preserve">48%</w:t>
            </w:r>
          </w:p>
        </w:tc>
        <w:tc>
          <w:tcPr>
            <w:tcW w:type="pct" w:w="18%"/>
            <w:shd w:fill="E8ECEB" w:val="clear"/>
            <w:tcMar>
              <w:top w:type="dxa" w:w="50"/>
              <w:left w:type="dxa" w:w="120"/>
              <w:bottom w:type="dxa" w:w="50"/>
              <w:right w:type="dxa" w:w="120"/>
            </w:tcMar>
          </w:tcPr>
          <w:p>
            <w:r>
              <w:rPr>
                <w:rFonts w:ascii="Calibri"/>
                <w:color w:val="1A2B40"/>
                <w:sz w:val="21"/>
                <w:szCs w:val="21"/>
              </w:rPr>
              <w:t xml:space="preserve">48%</w:t>
            </w:r>
          </w:p>
        </w:tc>
        <w:tc>
          <w:tcPr>
            <w:tcW w:type="pct" w:w="10%"/>
            <w:shd w:fill="E8ECEB" w:val="clear"/>
            <w:tcMar>
              <w:top w:type="dxa" w:w="50"/>
              <w:left w:type="dxa" w:w="120"/>
              <w:bottom w:type="dxa" w:w="50"/>
              <w:right w:type="dxa" w:w="120"/>
            </w:tcMar>
          </w:tcPr>
          <w:p>
            <w:r>
              <w:rPr>
                <w:rFonts w:ascii="Calibri"/>
                <w:color w:val="1A2B40"/>
                <w:sz w:val="21"/>
                <w:szCs w:val="21"/>
              </w:rPr>
              <w:t xml:space="preserve">Stable</w:t>
            </w:r>
          </w:p>
        </w:tc>
      </w:tr>
      <w:tr>
        <w:trPr>
          <w:cantSplit/>
        </w:trPr>
        <w:tc>
          <w:tcPr>
            <w:tcW w:type="pct" w:w="22%"/>
            <w:tcMar>
              <w:top w:type="dxa" w:w="50"/>
              <w:left w:type="dxa" w:w="120"/>
              <w:bottom w:type="dxa" w:w="50"/>
              <w:right w:type="dxa" w:w="120"/>
            </w:tcMar>
          </w:tcPr>
          <w:p>
            <w:r>
              <w:rPr>
                <w:rFonts w:ascii="Calibri"/>
                <w:color w:val="1A2B40"/>
                <w:sz w:val="21"/>
                <w:szCs w:val="21"/>
              </w:rPr>
              <w:t xml:space="preserve">Pool C (max 18)</w:t>
            </w:r>
          </w:p>
        </w:tc>
        <w:tc>
          <w:tcPr>
            <w:tcW w:type="pct" w:w="16%"/>
            <w:tcMar>
              <w:top w:type="dxa" w:w="50"/>
              <w:left w:type="dxa" w:w="120"/>
              <w:bottom w:type="dxa" w:w="50"/>
              <w:right w:type="dxa" w:w="120"/>
            </w:tcMar>
          </w:tcPr>
          <w:p>
            <w:r>
              <w:rPr>
                <w:rFonts w:ascii="Calibri"/>
                <w:color w:val="1A2B40"/>
                <w:sz w:val="21"/>
                <w:szCs w:val="21"/>
              </w:rPr>
              <w:t xml:space="preserve">12.6</w:t>
            </w:r>
          </w:p>
        </w:tc>
        <w:tc>
          <w:tcPr>
            <w:tcW w:type="pct" w:w="16%"/>
            <w:tcMar>
              <w:top w:type="dxa" w:w="50"/>
              <w:left w:type="dxa" w:w="120"/>
              <w:bottom w:type="dxa" w:w="50"/>
              <w:right w:type="dxa" w:w="120"/>
            </w:tcMar>
          </w:tcPr>
          <w:p>
            <w:r>
              <w:rPr>
                <w:rFonts w:ascii="Calibri"/>
                <w:color w:val="1A2B40"/>
                <w:sz w:val="21"/>
                <w:szCs w:val="21"/>
              </w:rPr>
              <w:t xml:space="preserve">12.6</w:t>
            </w:r>
          </w:p>
        </w:tc>
        <w:tc>
          <w:tcPr>
            <w:tcW w:type="pct" w:w="18%"/>
            <w:tcMar>
              <w:top w:type="dxa" w:w="50"/>
              <w:left w:type="dxa" w:w="120"/>
              <w:bottom w:type="dxa" w:w="50"/>
              <w:right w:type="dxa" w:w="120"/>
            </w:tcMar>
          </w:tcPr>
          <w:p>
            <w:r>
              <w:rPr>
                <w:rFonts w:ascii="Calibri"/>
                <w:color w:val="1A2B40"/>
                <w:sz w:val="21"/>
                <w:szCs w:val="21"/>
              </w:rPr>
              <w:t xml:space="preserve">70%</w:t>
            </w:r>
          </w:p>
        </w:tc>
        <w:tc>
          <w:tcPr>
            <w:tcW w:type="pct" w:w="18%"/>
            <w:tcMar>
              <w:top w:type="dxa" w:w="50"/>
              <w:left w:type="dxa" w:w="120"/>
              <w:bottom w:type="dxa" w:w="50"/>
              <w:right w:type="dxa" w:w="120"/>
            </w:tcMar>
          </w:tcPr>
          <w:p>
            <w:r>
              <w:rPr>
                <w:rFonts w:ascii="Calibri"/>
                <w:color w:val="1A2B40"/>
                <w:sz w:val="21"/>
                <w:szCs w:val="21"/>
              </w:rPr>
              <w:t xml:space="preserve">70%</w:t>
            </w:r>
          </w:p>
        </w:tc>
        <w:tc>
          <w:tcPr>
            <w:tcW w:type="pct" w:w="10%"/>
            <w:tcMar>
              <w:top w:type="dxa" w:w="50"/>
              <w:left w:type="dxa" w:w="120"/>
              <w:bottom w:type="dxa" w:w="50"/>
              <w:right w:type="dxa" w:w="120"/>
            </w:tcMar>
          </w:tcPr>
          <w:p>
            <w:r>
              <w:rPr>
                <w:rFonts w:ascii="Calibri"/>
                <w:color w:val="1A2B40"/>
                <w:sz w:val="21"/>
                <w:szCs w:val="21"/>
              </w:rPr>
              <w:t xml:space="preserve">Stable</w:t>
            </w:r>
          </w:p>
        </w:tc>
      </w:tr>
      <w:tr>
        <w:trPr>
          <w:cantSplit/>
        </w:trPr>
        <w:tc>
          <w:tcPr>
            <w:tcW w:type="pct" w:w="22%"/>
            <w:shd w:fill="E8ECEB" w:val="clear"/>
            <w:tcMar>
              <w:top w:type="dxa" w:w="50"/>
              <w:left w:type="dxa" w:w="120"/>
              <w:bottom w:type="dxa" w:w="50"/>
              <w:right w:type="dxa" w:w="120"/>
            </w:tcMar>
          </w:tcPr>
          <w:p>
            <w:r>
              <w:rPr>
                <w:rFonts w:ascii="Calibri"/>
                <w:color w:val="1A2B40"/>
                <w:sz w:val="21"/>
                <w:szCs w:val="21"/>
              </w:rPr>
              <w:t xml:space="preserve">Bonus A (max 8)</w:t>
            </w:r>
          </w:p>
        </w:tc>
        <w:tc>
          <w:tcPr>
            <w:tcW w:type="pct" w:w="16%"/>
            <w:shd w:fill="E8ECEB" w:val="clear"/>
            <w:tcMar>
              <w:top w:type="dxa" w:w="50"/>
              <w:left w:type="dxa" w:w="120"/>
              <w:bottom w:type="dxa" w:w="50"/>
              <w:right w:type="dxa" w:w="120"/>
            </w:tcMar>
          </w:tcPr>
          <w:p>
            <w:r>
              <w:rPr>
                <w:rFonts w:ascii="Calibri"/>
                <w:color w:val="1A2B40"/>
                <w:sz w:val="21"/>
                <w:szCs w:val="21"/>
              </w:rPr>
              <w:t xml:space="preserve">4.6</w:t>
            </w:r>
          </w:p>
        </w:tc>
        <w:tc>
          <w:tcPr>
            <w:tcW w:type="pct" w:w="16%"/>
            <w:shd w:fill="E8ECEB" w:val="clear"/>
            <w:tcMar>
              <w:top w:type="dxa" w:w="50"/>
              <w:left w:type="dxa" w:w="120"/>
              <w:bottom w:type="dxa" w:w="50"/>
              <w:right w:type="dxa" w:w="120"/>
            </w:tcMar>
          </w:tcPr>
          <w:p>
            <w:r>
              <w:rPr>
                <w:rFonts w:ascii="Calibri"/>
                <w:color w:val="1A2B40"/>
                <w:sz w:val="21"/>
                <w:szCs w:val="21"/>
              </w:rPr>
              <w:t xml:space="preserve">4.6</w:t>
            </w:r>
          </w:p>
        </w:tc>
        <w:tc>
          <w:tcPr>
            <w:tcW w:type="pct" w:w="18%"/>
            <w:shd w:fill="E8ECEB" w:val="clear"/>
            <w:tcMar>
              <w:top w:type="dxa" w:w="50"/>
              <w:left w:type="dxa" w:w="120"/>
              <w:bottom w:type="dxa" w:w="50"/>
              <w:right w:type="dxa" w:w="120"/>
            </w:tcMar>
          </w:tcPr>
          <w:p>
            <w:r>
              <w:rPr>
                <w:rFonts w:ascii="Calibri"/>
                <w:color w:val="1A2B40"/>
                <w:sz w:val="21"/>
                <w:szCs w:val="21"/>
              </w:rPr>
              <w:t xml:space="preserve">58%</w:t>
            </w:r>
          </w:p>
        </w:tc>
        <w:tc>
          <w:tcPr>
            <w:tcW w:type="pct" w:w="18%"/>
            <w:shd w:fill="E8ECEB" w:val="clear"/>
            <w:tcMar>
              <w:top w:type="dxa" w:w="50"/>
              <w:left w:type="dxa" w:w="120"/>
              <w:bottom w:type="dxa" w:w="50"/>
              <w:right w:type="dxa" w:w="120"/>
            </w:tcMar>
          </w:tcPr>
          <w:p>
            <w:r>
              <w:rPr>
                <w:rFonts w:ascii="Calibri"/>
                <w:color w:val="1A2B40"/>
                <w:sz w:val="21"/>
                <w:szCs w:val="21"/>
              </w:rPr>
              <w:t xml:space="preserve">58%</w:t>
            </w:r>
          </w:p>
        </w:tc>
        <w:tc>
          <w:tcPr>
            <w:tcW w:type="pct" w:w="10%"/>
            <w:shd w:fill="E8ECEB" w:val="clear"/>
            <w:tcMar>
              <w:top w:type="dxa" w:w="50"/>
              <w:left w:type="dxa" w:w="120"/>
              <w:bottom w:type="dxa" w:w="50"/>
              <w:right w:type="dxa" w:w="120"/>
            </w:tcMar>
          </w:tcPr>
          <w:p>
            <w:r>
              <w:rPr>
                <w:rFonts w:ascii="Calibri"/>
                <w:color w:val="1A2B40"/>
                <w:sz w:val="21"/>
                <w:szCs w:val="21"/>
              </w:rPr>
              <w:t xml:space="preserve">Stable</w:t>
            </w:r>
          </w:p>
        </w:tc>
      </w:tr>
      <w:tr>
        <w:trPr>
          <w:cantSplit/>
        </w:trPr>
        <w:tc>
          <w:tcPr>
            <w:tcW w:type="pct" w:w="22%"/>
            <w:tcMar>
              <w:top w:type="dxa" w:w="50"/>
              <w:left w:type="dxa" w:w="120"/>
              <w:bottom w:type="dxa" w:w="50"/>
              <w:right w:type="dxa" w:w="120"/>
            </w:tcMar>
          </w:tcPr>
          <w:p>
            <w:r>
              <w:rPr>
                <w:rFonts w:ascii="Calibri"/>
                <w:color w:val="1A2B40"/>
                <w:sz w:val="21"/>
                <w:szCs w:val="21"/>
              </w:rPr>
              <w:t xml:space="preserve">Bonus B (max 10)</w:t>
            </w:r>
          </w:p>
        </w:tc>
        <w:tc>
          <w:tcPr>
            <w:tcW w:type="pct" w:w="16%"/>
            <w:tcMar>
              <w:top w:type="dxa" w:w="50"/>
              <w:left w:type="dxa" w:w="120"/>
              <w:bottom w:type="dxa" w:w="50"/>
              <w:right w:type="dxa" w:w="120"/>
            </w:tcMar>
          </w:tcPr>
          <w:p>
            <w:r>
              <w:rPr>
                <w:rFonts w:ascii="Calibri"/>
                <w:color w:val="1A2B40"/>
                <w:sz w:val="21"/>
                <w:szCs w:val="21"/>
              </w:rPr>
              <w:t xml:space="preserve">5.2</w:t>
            </w:r>
          </w:p>
        </w:tc>
        <w:tc>
          <w:tcPr>
            <w:tcW w:type="pct" w:w="16%"/>
            <w:tcMar>
              <w:top w:type="dxa" w:w="50"/>
              <w:left w:type="dxa" w:w="120"/>
              <w:bottom w:type="dxa" w:w="50"/>
              <w:right w:type="dxa" w:w="120"/>
            </w:tcMar>
          </w:tcPr>
          <w:p>
            <w:r>
              <w:rPr>
                <w:rFonts w:ascii="Calibri"/>
                <w:color w:val="1A2B40"/>
                <w:sz w:val="21"/>
                <w:szCs w:val="21"/>
              </w:rPr>
              <w:t xml:space="preserve">5.2</w:t>
            </w:r>
          </w:p>
        </w:tc>
        <w:tc>
          <w:tcPr>
            <w:tcW w:type="pct" w:w="18%"/>
            <w:tcMar>
              <w:top w:type="dxa" w:w="50"/>
              <w:left w:type="dxa" w:w="120"/>
              <w:bottom w:type="dxa" w:w="50"/>
              <w:right w:type="dxa" w:w="120"/>
            </w:tcMar>
          </w:tcPr>
          <w:p>
            <w:r>
              <w:rPr>
                <w:rFonts w:ascii="Calibri"/>
                <w:color w:val="1A2B40"/>
                <w:sz w:val="21"/>
                <w:szCs w:val="21"/>
              </w:rPr>
              <w:t xml:space="preserve">52%</w:t>
            </w:r>
          </w:p>
        </w:tc>
        <w:tc>
          <w:tcPr>
            <w:tcW w:type="pct" w:w="18%"/>
            <w:tcMar>
              <w:top w:type="dxa" w:w="50"/>
              <w:left w:type="dxa" w:w="120"/>
              <w:bottom w:type="dxa" w:w="50"/>
              <w:right w:type="dxa" w:w="120"/>
            </w:tcMar>
          </w:tcPr>
          <w:p>
            <w:r>
              <w:rPr>
                <w:rFonts w:ascii="Calibri"/>
                <w:color w:val="1A2B40"/>
                <w:sz w:val="21"/>
                <w:szCs w:val="21"/>
              </w:rPr>
              <w:t xml:space="preserve">52%</w:t>
            </w:r>
          </w:p>
        </w:tc>
        <w:tc>
          <w:tcPr>
            <w:tcW w:type="pct" w:w="10%"/>
            <w:tcMar>
              <w:top w:type="dxa" w:w="50"/>
              <w:left w:type="dxa" w:w="120"/>
              <w:bottom w:type="dxa" w:w="50"/>
              <w:right w:type="dxa" w:w="120"/>
            </w:tcMar>
          </w:tcPr>
          <w:p>
            <w:r>
              <w:rPr>
                <w:rFonts w:ascii="Calibri"/>
                <w:color w:val="1A2B40"/>
                <w:sz w:val="21"/>
                <w:szCs w:val="21"/>
              </w:rPr>
              <w:t xml:space="preserve">Stable</w:t>
            </w:r>
          </w:p>
        </w:tc>
      </w:tr>
      <w:tr>
        <w:trPr>
          <w:cantSplit/>
        </w:trPr>
        <w:tc>
          <w:tcPr>
            <w:tcW w:type="pct" w:w="22%"/>
            <w:shd w:fill="E8ECEB" w:val="clear"/>
            <w:tcMar>
              <w:top w:type="dxa" w:w="50"/>
              <w:left w:type="dxa" w:w="120"/>
              <w:bottom w:type="dxa" w:w="50"/>
              <w:right w:type="dxa" w:w="120"/>
            </w:tcMar>
          </w:tcPr>
          <w:p>
            <w:r>
              <w:rPr>
                <w:rFonts w:ascii="Calibri"/>
                <w:color w:val="1A2B40"/>
                <w:sz w:val="21"/>
                <w:szCs w:val="21"/>
              </w:rPr>
              <w:t xml:space="preserve">Bonus C (max 5)</w:t>
            </w:r>
          </w:p>
        </w:tc>
        <w:tc>
          <w:tcPr>
            <w:tcW w:type="pct" w:w="16%"/>
            <w:shd w:fill="E8ECEB" w:val="clear"/>
            <w:tcMar>
              <w:top w:type="dxa" w:w="50"/>
              <w:left w:type="dxa" w:w="120"/>
              <w:bottom w:type="dxa" w:w="50"/>
              <w:right w:type="dxa" w:w="120"/>
            </w:tcMar>
          </w:tcPr>
          <w:p>
            <w:r>
              <w:rPr>
                <w:rFonts w:ascii="Calibri"/>
                <w:color w:val="1A2B40"/>
                <w:sz w:val="21"/>
                <w:szCs w:val="21"/>
              </w:rPr>
              <w:t xml:space="preserve">2.9</w:t>
            </w:r>
          </w:p>
        </w:tc>
        <w:tc>
          <w:tcPr>
            <w:tcW w:type="pct" w:w="16%"/>
            <w:shd w:fill="E8ECEB" w:val="clear"/>
            <w:tcMar>
              <w:top w:type="dxa" w:w="50"/>
              <w:left w:type="dxa" w:w="120"/>
              <w:bottom w:type="dxa" w:w="50"/>
              <w:right w:type="dxa" w:w="120"/>
            </w:tcMar>
          </w:tcPr>
          <w:p>
            <w:r>
              <w:rPr>
                <w:rFonts w:ascii="Calibri"/>
                <w:color w:val="1A2B40"/>
                <w:sz w:val="21"/>
                <w:szCs w:val="21"/>
              </w:rPr>
              <w:t xml:space="preserve">0.4</w:t>
            </w:r>
          </w:p>
        </w:tc>
        <w:tc>
          <w:tcPr>
            <w:tcW w:type="pct" w:w="18%"/>
            <w:shd w:fill="E8ECEB" w:val="clear"/>
            <w:tcMar>
              <w:top w:type="dxa" w:w="50"/>
              <w:left w:type="dxa" w:w="120"/>
              <w:bottom w:type="dxa" w:w="50"/>
              <w:right w:type="dxa" w:w="120"/>
            </w:tcMar>
          </w:tcPr>
          <w:p>
            <w:r>
              <w:rPr>
                <w:rFonts w:ascii="Calibri"/>
                <w:color w:val="1A2B40"/>
                <w:sz w:val="21"/>
                <w:szCs w:val="21"/>
              </w:rPr>
              <w:t xml:space="preserve">57%</w:t>
            </w:r>
          </w:p>
        </w:tc>
        <w:tc>
          <w:tcPr>
            <w:tcW w:type="pct" w:w="18%"/>
            <w:shd w:fill="E8ECEB" w:val="clear"/>
            <w:tcMar>
              <w:top w:type="dxa" w:w="50"/>
              <w:left w:type="dxa" w:w="120"/>
              <w:bottom w:type="dxa" w:w="50"/>
              <w:right w:type="dxa" w:w="120"/>
            </w:tcMar>
          </w:tcPr>
          <w:p>
            <w:r>
              <w:rPr>
                <w:rFonts w:ascii="Calibri"/>
                <w:color w:val="1A2B40"/>
                <w:sz w:val="21"/>
                <w:szCs w:val="21"/>
              </w:rPr>
              <w:t xml:space="preserve">8%</w:t>
            </w:r>
          </w:p>
        </w:tc>
        <w:tc>
          <w:tcPr>
            <w:tcW w:type="pct" w:w="10%"/>
            <w:shd w:fill="E8ECEB" w:val="clear"/>
            <w:tcMar>
              <w:top w:type="dxa" w:w="50"/>
              <w:left w:type="dxa" w:w="120"/>
              <w:bottom w:type="dxa" w:w="50"/>
              <w:right w:type="dxa" w:w="120"/>
            </w:tcMar>
          </w:tcPr>
          <w:p>
            <w:r>
              <w:rPr>
                <w:rFonts w:ascii="Calibri"/>
                <w:color w:val="1A2B40"/>
                <w:sz w:val="21"/>
                <w:szCs w:val="21"/>
              </w:rPr>
              <w:t xml:space="preserve">COLLAPSED</w:t>
            </w:r>
          </w:p>
        </w:tc>
      </w:tr>
    </w:tbl>
    <w:p>
      <w:pPr>
        <w:spacing w:after="120" w:line="312"/>
        <w:jc w:val="both"/>
      </w:pPr>
      <w:r>
        <w:rPr>
          <w:rFonts w:ascii="Calibri" w:eastAsia="Microsoft YaHei"/>
          <w:color w:val="1A2B40"/>
          <w:sz w:val="24"/>
          <w:szCs w:val="24"/>
        </w:rPr>
        <w:t xml:space="preserve">Table 5: Signal pool utilization comparison confirming Bonus C as the sole degraded pool.</w:t>
      </w:r>
    </w:p>
    <w:p>
      <w:pPr>
        <w:spacing w:after="120" w:line="312"/>
        <w:ind w:firstLine="480"/>
        <w:jc w:val="both"/>
      </w:pPr>
      <w:r>
        <w:rPr>
          <w:rFonts w:ascii="Calibri" w:eastAsia="Microsoft YaHei"/>
          <w:color w:val="1A2B40"/>
          <w:sz w:val="24"/>
          <w:szCs w:val="24"/>
        </w:rPr>
        <w:t xml:space="preserve">This finding is significant because it isolates the P&amp;L regression to a single pool's behavior change. The 21 non-Bonus-C signals are functioning identically in both versions. The B6 signal (WC21 Proximity) shows a minor change from 13% to 15.6% hit rate because v7 uses daily WC21 instead of 4H WC21, but this contributes only 0.2 additional points per day and is immaterial to the P&amp;L outcome. The core engine's discriminative power is preserved; the issue is purely that Bonus C no longer provides the uplift needed to push scores above the 75-point entry threshold.</w:t>
      </w:r>
    </w:p>
    <w:p>
      <w:pPr>
        <w:pStyle w:val="Heading1"/>
        <w:spacing w:after="160" w:before="360" w:line="312"/>
      </w:pPr>
      <w:bookmarkStart w:id="100011" w:name="_Toc100011"/>
      <w:r>
        <w:rPr>
          <w:rFonts w:ascii="Calibri" w:eastAsia="SimHei"/>
          <w:b/>
          <w:bCs/>
          <w:color w:val="101820"/>
          <w:sz w:val="32"/>
          <w:szCs w:val="32"/>
        </w:rPr>
        <w:t xml:space="preserve">6. Restoration Options</w:t>
      </w:r>
      <w:bookmarkEnd w:id="100011"/>
    </w:p>
    <w:p>
      <w:pPr>
        <w:pStyle w:val="Heading2"/>
        <w:spacing w:after="120" w:before="240" w:line="312"/>
      </w:pPr>
      <w:bookmarkStart w:id="100012" w:name="_Toc100012"/>
      <w:r>
        <w:rPr>
          <w:rFonts w:ascii="Calibri" w:eastAsia="SimHei"/>
          <w:b/>
          <w:bCs/>
          <w:color w:val="101820"/>
          <w:sz w:val="28"/>
          <w:szCs w:val="28"/>
        </w:rPr>
        <w:t xml:space="preserve">6.1 Option A: Full Reversion to v6 Parameters</w:t>
      </w:r>
      <w:bookmarkEnd w:id="100012"/>
    </w:p>
    <w:p>
      <w:pPr>
        <w:spacing w:after="120" w:line="312"/>
        <w:ind w:firstLine="480"/>
        <w:jc w:val="both"/>
      </w:pPr>
      <w:r>
        <w:rPr>
          <w:rFonts w:ascii="Calibri" w:eastAsia="Microsoft YaHei"/>
          <w:color w:val="1A2B40"/>
          <w:sz w:val="24"/>
          <w:szCs w:val="24"/>
        </w:rPr>
        <w:t xml:space="preserve">The most straightforward approach is to revert all changes that differ between v6 and v7, restoring the engine to its v6 behavioral state. This involves four specific code changes in the backtest runner and signal modules. First, remove the 5-bar time decay from BC1 and BC2, restoring them to binary on/off conditions. Second, lower the entry threshold from 75 back to 70. Third, remove or disable the ADX &lt; 20 sideways filter. Fourth, ensure the stateful RSI divergence exit mechanism is active (it may already be in the code but unused due to lack of trades).</w:t>
      </w:r>
    </w:p>
    <w:p>
      <w:pPr>
        <w:spacing w:after="120" w:line="312"/>
        <w:ind w:firstLine="480"/>
        <w:jc w:val="both"/>
      </w:pPr>
      <w:r>
        <w:rPr>
          <w:rFonts w:ascii="Calibri" w:eastAsia="Microsoft YaHei"/>
          <w:color w:val="1A2B40"/>
          <w:sz w:val="24"/>
          <w:szCs w:val="24"/>
        </w:rPr>
        <w:t xml:space="preserve">The expected outcome of a full reversion is a cumulative P&amp;L of approximately +267%, matching the v6 result within rounding tolerance. The trade count should return to 10, with 5 divergence exits. The win rate would return to 50%. This option is the safest path to restoring performance but abandons all audit-recommended improvements including the B6 signal, Pool B cap increase from 25 to 30, and the sideways market filter. The 4H alignment fix should be retained as it corrects a genuine bug and has zero P&amp;L impact.</w:t>
      </w:r>
    </w:p>
    <w:p>
      <w:pPr>
        <w:pStyle w:val="Heading2"/>
        <w:spacing w:after="120" w:before="240" w:line="312"/>
      </w:pPr>
      <w:bookmarkStart w:id="100013" w:name="_Toc100013"/>
      <w:r>
        <w:rPr>
          <w:rFonts w:ascii="Calibri" w:eastAsia="SimHei"/>
          <w:b/>
          <w:bCs/>
          <w:color w:val="101820"/>
          <w:sz w:val="28"/>
          <w:szCs w:val="28"/>
        </w:rPr>
        <w:t xml:space="preserve">6.2 Option B: Hybrid Approach (Recommended)</w:t>
      </w:r>
      <w:bookmarkEnd w:id="100013"/>
    </w:p>
    <w:p>
      <w:pPr>
        <w:spacing w:after="120" w:line="312"/>
        <w:ind w:firstLine="480"/>
        <w:jc w:val="both"/>
      </w:pPr>
      <w:r>
        <w:rPr>
          <w:rFonts w:ascii="Calibri" w:eastAsia="Microsoft YaHei"/>
          <w:color w:val="1A2B40"/>
          <w:sz w:val="24"/>
          <w:szCs w:val="24"/>
        </w:rPr>
        <w:t xml:space="preserve">The hybrid approach retains genuine improvements from the audit while reversing only the changes that caused the P&amp;L regression. This involves the following specific changes. Retain B6 (WC21 Proximity) in Pool B, retain Pool B max increase to 30, retain the 4H alignment fix (bug correction), retain core cap docstring update (documentation only), and revert BC1/BC2 to binary on/off without time decay, revert entry threshold to 70, and either remove the ADX &lt; 20 filter or raise its threshold to 18 to reduce false positives.</w:t>
      </w:r>
    </w:p>
    <w:p>
      <w:pPr>
        <w:spacing w:after="120" w:line="312"/>
        <w:ind w:firstLine="480"/>
        <w:jc w:val="both"/>
      </w:pPr>
      <w:r>
        <w:rPr>
          <w:rFonts w:ascii="Calibri" w:eastAsia="Microsoft YaHei"/>
          <w:color w:val="1A2B40"/>
          <w:sz w:val="24"/>
          <w:szCs w:val="24"/>
        </w:rPr>
        <w:t xml:space="preserve">The rationale for each retained change is as follows. B6 adds a new structural signal to Pool B without disrupting existing signals; its 15.6% hit rate provides marginal additional scoring differentiation. The Pool B cap increase from 25 to 30 accommodates the addition of B6 (which adds up to 5 points) and prevents pool capping from eroding B6's contribution. The 4H alignment fix corrects a date-matching bug that could cause incorrect 4H signal lookups on certain dates. The ADX filter at threshold 18 (instead of 20) would still block entries in genuinely sideways markets while allowing more early-recovery entries that occur during mild ADX dips.</w:t>
      </w:r>
    </w:p>
    <w:p>
      <w:pPr>
        <w:spacing w:after="120" w:line="312"/>
        <w:ind w:firstLine="480"/>
        <w:jc w:val="both"/>
      </w:pPr>
      <w:r>
        <w:rPr>
          <w:rFonts w:ascii="Calibri" w:eastAsia="Microsoft YaHei"/>
          <w:color w:val="1A2B40"/>
          <w:sz w:val="24"/>
          <w:szCs w:val="24"/>
        </w:rPr>
        <w:t xml:space="preserve">The expected outcome of the hybrid approach is a cumulative P&amp;L in the range of +240% to +270%. The trade count should return to approximately 9-10, with 4-5 divergence exits. The win rate should be approximately 50-57%. This is the recommended option because it preserves all genuine improvements while restoring the vast majority of lost P&amp;L.</w:t>
      </w:r>
    </w:p>
    <w:p>
      <w:pPr>
        <w:pStyle w:val="Heading2"/>
        <w:spacing w:after="120" w:before="240" w:line="312"/>
      </w:pPr>
      <w:bookmarkStart w:id="100014" w:name="_Toc100014"/>
      <w:r>
        <w:rPr>
          <w:rFonts w:ascii="Calibri" w:eastAsia="SimHei"/>
          <w:b/>
          <w:bCs/>
          <w:color w:val="101820"/>
          <w:sz w:val="28"/>
          <w:szCs w:val="28"/>
        </w:rPr>
        <w:t xml:space="preserve">6.3 Option C: Retain 75 Threshold with Adjusted Bonus C</w:t>
      </w:r>
      <w:bookmarkEnd w:id="100014"/>
    </w:p>
    <w:p>
      <w:pPr>
        <w:spacing w:after="120" w:line="312"/>
        <w:ind w:firstLine="480"/>
        <w:jc w:val="both"/>
      </w:pPr>
      <w:r>
        <w:rPr>
          <w:rFonts w:ascii="Calibri" w:eastAsia="Microsoft YaHei"/>
          <w:color w:val="1A2B40"/>
          <w:sz w:val="24"/>
          <w:szCs w:val="24"/>
        </w:rPr>
        <w:t xml:space="preserve">A third option is to keep the higher 75 entry threshold but compensate by restoring BC1/BC2 to their non-decayed state. This would provide the +5 bonus points needed to push scores above 75 while maintaining the stricter entry criteria. The theoretical advantage is that only the highest-conviction entries would qualify, potentially improving the win rate and average trade P&amp;L. However, the backtest data suggests this is unlikely to fully restore performance, because the 5 always-on Bonus C points would raise virtually all days by 5 points, effectively shifting the entire distribution upward and recreating the v6 classification distribution with a 75 threshold.</w:t>
      </w:r>
    </w:p>
    <w:p>
      <w:pPr>
        <w:spacing w:after="120" w:line="312"/>
        <w:ind w:firstLine="480"/>
        <w:jc w:val="both"/>
      </w:pPr>
      <w:r>
        <w:rPr>
          <w:rFonts w:ascii="Calibri" w:eastAsia="Microsoft YaHei"/>
          <w:color w:val="1A2B40"/>
          <w:sz w:val="24"/>
          <w:szCs w:val="24"/>
        </w:rPr>
        <w:t xml:space="preserve">In practice, this option would behave nearly identically to the v6 configuration with a 75 threshold overlay. Most days that scored 70-74 in v6 would now score 75-79 and qualify for entry, recreating the same trade set. The difference would be at the margin: days scoring 68-69 in v6 would score 73-74 and still be blocked, eliminating a few marginal entries. This is a reasonable conservative approach if the user prefers the 75 threshold as a deliberate design choice, but the P&amp;L recovery would be slightly less than the hybrid approach (estimated +230-250%) due to the loss of those marginal entries.</w:t>
      </w:r>
    </w:p>
    <w:p>
      <w:pPr>
        <w:pStyle w:val="Heading1"/>
        <w:spacing w:after="160" w:before="360" w:line="312"/>
      </w:pPr>
      <w:bookmarkStart w:id="100015" w:name="_Toc100015"/>
      <w:r>
        <w:rPr>
          <w:rFonts w:ascii="Calibri" w:eastAsia="SimHei"/>
          <w:b/>
          <w:bCs/>
          <w:color w:val="101820"/>
          <w:sz w:val="32"/>
          <w:szCs w:val="32"/>
        </w:rPr>
        <w:t xml:space="preserve">7. Implementation Plan (Option B: Hybrid)</w:t>
      </w:r>
      <w:bookmarkEnd w:id="100015"/>
    </w:p>
    <w:p>
      <w:pPr>
        <w:pStyle w:val="Heading2"/>
        <w:spacing w:after="120" w:before="240" w:line="312"/>
      </w:pPr>
      <w:bookmarkStart w:id="100016" w:name="_Toc100016"/>
      <w:r>
        <w:rPr>
          <w:rFonts w:ascii="Calibri" w:eastAsia="SimHei"/>
          <w:b/>
          <w:bCs/>
          <w:color w:val="101820"/>
          <w:sz w:val="28"/>
          <w:szCs w:val="28"/>
        </w:rPr>
        <w:t xml:space="preserve">7.1 Code Changes Required</w:t>
      </w:r>
      <w:bookmarkEnd w:id="100016"/>
    </w:p>
    <w:p>
      <w:pPr>
        <w:spacing w:after="120" w:line="312"/>
        <w:ind w:firstLine="480"/>
        <w:jc w:val="both"/>
      </w:pPr>
      <w:r>
        <w:rPr>
          <w:rFonts w:ascii="Calibri" w:eastAsia="Microsoft YaHei"/>
          <w:color w:val="1A2B40"/>
          <w:sz w:val="24"/>
          <w:szCs w:val="24"/>
        </w:rPr>
        <w:t xml:space="preserve">The implementation requires modifications to four files in the Apollo engine package. Each change is localized and can be implemented independently, allowing for incremental testing. The estimated total implementation time is 30-45 minutes, followed by a 2-3 minute backtest run and report generation.</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2%"/>
            <w:shd w:fill="529286" w:val="clear"/>
            <w:tcMar>
              <w:top w:type="dxa" w:w="60"/>
              <w:left w:type="dxa" w:w="120"/>
              <w:bottom w:type="dxa" w:w="60"/>
              <w:right w:type="dxa" w:w="120"/>
            </w:tcMar>
          </w:tcPr>
          <w:p>
            <w:r>
              <w:rPr>
                <w:rFonts w:ascii="Calibri"/>
                <w:b/>
                <w:bCs/>
                <w:color w:val="FFFFFF"/>
                <w:sz w:val="21"/>
                <w:szCs w:val="21"/>
              </w:rPr>
              <w:t xml:space="preserve">File</w:t>
            </w:r>
          </w:p>
        </w:tc>
        <w:tc>
          <w:tcPr>
            <w:tcW w:type="pct" w:w="40%"/>
            <w:shd w:fill="529286" w:val="clear"/>
            <w:tcMar>
              <w:top w:type="dxa" w:w="60"/>
              <w:left w:type="dxa" w:w="120"/>
              <w:bottom w:type="dxa" w:w="60"/>
              <w:right w:type="dxa" w:w="120"/>
            </w:tcMar>
          </w:tcPr>
          <w:p>
            <w:r>
              <w:rPr>
                <w:rFonts w:ascii="Calibri"/>
                <w:b/>
                <w:bCs/>
                <w:color w:val="FFFFFF"/>
                <w:sz w:val="21"/>
                <w:szCs w:val="21"/>
              </w:rPr>
              <w:t xml:space="preserve">Change</w:t>
            </w:r>
          </w:p>
        </w:tc>
        <w:tc>
          <w:tcPr>
            <w:tcW w:type="pct" w:w="18%"/>
            <w:shd w:fill="529286" w:val="clear"/>
            <w:tcMar>
              <w:top w:type="dxa" w:w="60"/>
              <w:left w:type="dxa" w:w="120"/>
              <w:bottom w:type="dxa" w:w="60"/>
              <w:right w:type="dxa" w:w="120"/>
            </w:tcMar>
          </w:tcPr>
          <w:p>
            <w:r>
              <w:rPr>
                <w:rFonts w:ascii="Calibri"/>
                <w:b/>
                <w:bCs/>
                <w:color w:val="FFFFFF"/>
                <w:sz w:val="21"/>
                <w:szCs w:val="21"/>
              </w:rPr>
              <w:t xml:space="preserve">Lines Affected</w:t>
            </w:r>
          </w:p>
        </w:tc>
        <w:tc>
          <w:tcPr>
            <w:tcW w:type="pct" w:w="20%"/>
            <w:shd w:fill="529286" w:val="clear"/>
            <w:tcMar>
              <w:top w:type="dxa" w:w="60"/>
              <w:left w:type="dxa" w:w="120"/>
              <w:bottom w:type="dxa" w:w="60"/>
              <w:right w:type="dxa" w:w="120"/>
            </w:tcMar>
          </w:tcPr>
          <w:p>
            <w:r>
              <w:rPr>
                <w:rFonts w:ascii="Calibri"/>
                <w:b/>
                <w:bCs/>
                <w:color w:val="FFFFFF"/>
                <w:sz w:val="21"/>
                <w:szCs w:val="21"/>
              </w:rPr>
              <w:t xml:space="preserve">Priority</w:t>
            </w:r>
          </w:p>
        </w:tc>
      </w:tr>
      <w:tr>
        <w:trPr>
          <w:cantSplit/>
        </w:trPr>
        <w:tc>
          <w:tcPr>
            <w:tcW w:type="pct" w:w="22%"/>
            <w:tcMar>
              <w:top w:type="dxa" w:w="50"/>
              <w:left w:type="dxa" w:w="120"/>
              <w:bottom w:type="dxa" w:w="50"/>
              <w:right w:type="dxa" w:w="120"/>
            </w:tcMar>
          </w:tcPr>
          <w:p>
            <w:r>
              <w:rPr>
                <w:rFonts w:ascii="Calibri"/>
                <w:color w:val="1A2B40"/>
                <w:sz w:val="21"/>
                <w:szCs w:val="21"/>
              </w:rPr>
              <w:t xml:space="preserve">apollo_backtest.py</w:t>
            </w:r>
          </w:p>
        </w:tc>
        <w:tc>
          <w:tcPr>
            <w:tcW w:type="pct" w:w="40%"/>
            <w:tcMar>
              <w:top w:type="dxa" w:w="50"/>
              <w:left w:type="dxa" w:w="120"/>
              <w:bottom w:type="dxa" w:w="50"/>
              <w:right w:type="dxa" w:w="120"/>
            </w:tcMar>
          </w:tcPr>
          <w:p>
            <w:r>
              <w:rPr>
                <w:rFonts w:ascii="Calibri"/>
                <w:color w:val="1A2B40"/>
                <w:sz w:val="21"/>
                <w:szCs w:val="21"/>
              </w:rPr>
              <w:t xml:space="preserve">Remove BC1/BC2 5-bar decay logic</w:t>
            </w:r>
          </w:p>
        </w:tc>
        <w:tc>
          <w:tcPr>
            <w:tcW w:type="pct" w:w="18%"/>
            <w:tcMar>
              <w:top w:type="dxa" w:w="50"/>
              <w:left w:type="dxa" w:w="120"/>
              <w:bottom w:type="dxa" w:w="50"/>
              <w:right w:type="dxa" w:w="120"/>
            </w:tcMar>
          </w:tcPr>
          <w:p>
            <w:r>
              <w:rPr>
                <w:rFonts w:ascii="Calibri"/>
                <w:color w:val="1A2B40"/>
                <w:sz w:val="21"/>
                <w:szCs w:val="21"/>
              </w:rPr>
              <w:t xml:space="preserve">~15 lines</w:t>
            </w:r>
          </w:p>
        </w:tc>
        <w:tc>
          <w:tcPr>
            <w:tcW w:type="pct" w:w="20%"/>
            <w:tcMar>
              <w:top w:type="dxa" w:w="50"/>
              <w:left w:type="dxa" w:w="120"/>
              <w:bottom w:type="dxa" w:w="50"/>
              <w:right w:type="dxa" w:w="120"/>
            </w:tcMar>
          </w:tcPr>
          <w:p>
            <w:r>
              <w:rPr>
                <w:rFonts w:ascii="Calibri"/>
                <w:color w:val="1A2B40"/>
                <w:sz w:val="21"/>
                <w:szCs w:val="21"/>
              </w:rPr>
              <w:t xml:space="preserve">Critical</w:t>
            </w:r>
          </w:p>
        </w:tc>
      </w:tr>
      <w:tr>
        <w:trPr>
          <w:cantSplit/>
        </w:trPr>
        <w:tc>
          <w:tcPr>
            <w:tcW w:type="pct" w:w="22%"/>
            <w:shd w:fill="E8ECEB" w:val="clear"/>
            <w:tcMar>
              <w:top w:type="dxa" w:w="50"/>
              <w:left w:type="dxa" w:w="120"/>
              <w:bottom w:type="dxa" w:w="50"/>
              <w:right w:type="dxa" w:w="120"/>
            </w:tcMar>
          </w:tcPr>
          <w:p>
            <w:r>
              <w:rPr>
                <w:rFonts w:ascii="Calibri"/>
                <w:color w:val="1A2B40"/>
                <w:sz w:val="21"/>
                <w:szCs w:val="21"/>
              </w:rPr>
              <w:t xml:space="preserve">apollo_backtest.py</w:t>
            </w:r>
          </w:p>
        </w:tc>
        <w:tc>
          <w:tcPr>
            <w:tcW w:type="pct" w:w="40%"/>
            <w:shd w:fill="E8ECEB" w:val="clear"/>
            <w:tcMar>
              <w:top w:type="dxa" w:w="50"/>
              <w:left w:type="dxa" w:w="120"/>
              <w:bottom w:type="dxa" w:w="50"/>
              <w:right w:type="dxa" w:w="120"/>
            </w:tcMar>
          </w:tcPr>
          <w:p>
            <w:r>
              <w:rPr>
                <w:rFonts w:ascii="Calibri"/>
                <w:color w:val="1A2B40"/>
                <w:sz w:val="21"/>
                <w:szCs w:val="21"/>
              </w:rPr>
              <w:t xml:space="preserve">Revert entry threshold 75 to 70</w:t>
            </w:r>
          </w:p>
        </w:tc>
        <w:tc>
          <w:tcPr>
            <w:tcW w:type="pct" w:w="18%"/>
            <w:shd w:fill="E8ECEB" w:val="clear"/>
            <w:tcMar>
              <w:top w:type="dxa" w:w="50"/>
              <w:left w:type="dxa" w:w="120"/>
              <w:bottom w:type="dxa" w:w="50"/>
              <w:right w:type="dxa" w:w="120"/>
            </w:tcMar>
          </w:tcPr>
          <w:p>
            <w:r>
              <w:rPr>
                <w:rFonts w:ascii="Calibri"/>
                <w:color w:val="1A2B40"/>
                <w:sz w:val="21"/>
                <w:szCs w:val="21"/>
              </w:rPr>
              <w:t xml:space="preserve">1 line</w:t>
            </w:r>
          </w:p>
        </w:tc>
        <w:tc>
          <w:tcPr>
            <w:tcW w:type="pct" w:w="20%"/>
            <w:shd w:fill="E8ECEB" w:val="clear"/>
            <w:tcMar>
              <w:top w:type="dxa" w:w="50"/>
              <w:left w:type="dxa" w:w="120"/>
              <w:bottom w:type="dxa" w:w="50"/>
              <w:right w:type="dxa" w:w="120"/>
            </w:tcMar>
          </w:tcPr>
          <w:p>
            <w:r>
              <w:rPr>
                <w:rFonts w:ascii="Calibri"/>
                <w:color w:val="1A2B40"/>
                <w:sz w:val="21"/>
                <w:szCs w:val="21"/>
              </w:rPr>
              <w:t xml:space="preserve">Critical</w:t>
            </w:r>
          </w:p>
        </w:tc>
      </w:tr>
      <w:tr>
        <w:trPr>
          <w:cantSplit/>
        </w:trPr>
        <w:tc>
          <w:tcPr>
            <w:tcW w:type="pct" w:w="22%"/>
            <w:tcMar>
              <w:top w:type="dxa" w:w="50"/>
              <w:left w:type="dxa" w:w="120"/>
              <w:bottom w:type="dxa" w:w="50"/>
              <w:right w:type="dxa" w:w="120"/>
            </w:tcMar>
          </w:tcPr>
          <w:p>
            <w:r>
              <w:rPr>
                <w:rFonts w:ascii="Calibri"/>
                <w:color w:val="1A2B40"/>
                <w:sz w:val="21"/>
                <w:szCs w:val="21"/>
              </w:rPr>
              <w:t xml:space="preserve">apollo_backtest.py</w:t>
            </w:r>
          </w:p>
        </w:tc>
        <w:tc>
          <w:tcPr>
            <w:tcW w:type="pct" w:w="40%"/>
            <w:tcMar>
              <w:top w:type="dxa" w:w="50"/>
              <w:left w:type="dxa" w:w="120"/>
              <w:bottom w:type="dxa" w:w="50"/>
              <w:right w:type="dxa" w:w="120"/>
            </w:tcMar>
          </w:tcPr>
          <w:p>
            <w:r>
              <w:rPr>
                <w:rFonts w:ascii="Calibri"/>
                <w:color w:val="1A2B40"/>
                <w:sz w:val="21"/>
                <w:szCs w:val="21"/>
              </w:rPr>
              <w:t xml:space="preserve">Remove ADX &lt; 20 sideways filter</w:t>
            </w:r>
          </w:p>
        </w:tc>
        <w:tc>
          <w:tcPr>
            <w:tcW w:type="pct" w:w="18%"/>
            <w:tcMar>
              <w:top w:type="dxa" w:w="50"/>
              <w:left w:type="dxa" w:w="120"/>
              <w:bottom w:type="dxa" w:w="50"/>
              <w:right w:type="dxa" w:w="120"/>
            </w:tcMar>
          </w:tcPr>
          <w:p>
            <w:r>
              <w:rPr>
                <w:rFonts w:ascii="Calibri"/>
                <w:color w:val="1A2B40"/>
                <w:sz w:val="21"/>
                <w:szCs w:val="21"/>
              </w:rPr>
              <w:t xml:space="preserve">~10 lines</w:t>
            </w:r>
          </w:p>
        </w:tc>
        <w:tc>
          <w:tcPr>
            <w:tcW w:type="pct" w:w="20%"/>
            <w:tcMar>
              <w:top w:type="dxa" w:w="50"/>
              <w:left w:type="dxa" w:w="120"/>
              <w:bottom w:type="dxa" w:w="50"/>
              <w:right w:type="dxa" w:w="120"/>
            </w:tcMar>
          </w:tcPr>
          <w:p>
            <w:r>
              <w:rPr>
                <w:rFonts w:ascii="Calibri"/>
                <w:color w:val="1A2B40"/>
                <w:sz w:val="21"/>
                <w:szCs w:val="21"/>
              </w:rPr>
              <w:t xml:space="preserve">Medium</w:t>
            </w:r>
          </w:p>
        </w:tc>
      </w:tr>
      <w:tr>
        <w:trPr>
          <w:cantSplit/>
        </w:trPr>
        <w:tc>
          <w:tcPr>
            <w:tcW w:type="pct" w:w="22%"/>
            <w:shd w:fill="E8ECEB" w:val="clear"/>
            <w:tcMar>
              <w:top w:type="dxa" w:w="50"/>
              <w:left w:type="dxa" w:w="120"/>
              <w:bottom w:type="dxa" w:w="50"/>
              <w:right w:type="dxa" w:w="120"/>
            </w:tcMar>
          </w:tcPr>
          <w:p>
            <w:r>
              <w:rPr>
                <w:rFonts w:ascii="Calibri"/>
                <w:color w:val="1A2B40"/>
                <w:sz w:val="21"/>
                <w:szCs w:val="21"/>
              </w:rPr>
              <w:t xml:space="preserve">signals.py</w:t>
            </w:r>
          </w:p>
        </w:tc>
        <w:tc>
          <w:tcPr>
            <w:tcW w:type="pct" w:w="40%"/>
            <w:shd w:fill="E8ECEB" w:val="clear"/>
            <w:tcMar>
              <w:top w:type="dxa" w:w="50"/>
              <w:left w:type="dxa" w:w="120"/>
              <w:bottom w:type="dxa" w:w="50"/>
              <w:right w:type="dxa" w:w="120"/>
            </w:tcMar>
          </w:tcPr>
          <w:p>
            <w:r>
              <w:rPr>
                <w:rFonts w:ascii="Calibri"/>
                <w:color w:val="1A2B40"/>
                <w:sz w:val="21"/>
                <w:szCs w:val="21"/>
              </w:rPr>
              <w:t xml:space="preserve">Revert signal_bc1/bc2 to binary (no decay)</w:t>
            </w:r>
          </w:p>
        </w:tc>
        <w:tc>
          <w:tcPr>
            <w:tcW w:type="pct" w:w="18%"/>
            <w:shd w:fill="E8ECEB" w:val="clear"/>
            <w:tcMar>
              <w:top w:type="dxa" w:w="50"/>
              <w:left w:type="dxa" w:w="120"/>
              <w:bottom w:type="dxa" w:w="50"/>
              <w:right w:type="dxa" w:w="120"/>
            </w:tcMar>
          </w:tcPr>
          <w:p>
            <w:r>
              <w:rPr>
                <w:rFonts w:ascii="Calibri"/>
                <w:color w:val="1A2B40"/>
                <w:sz w:val="21"/>
                <w:szCs w:val="21"/>
              </w:rPr>
              <w:t xml:space="preserve">~20 lines</w:t>
            </w:r>
          </w:p>
        </w:tc>
        <w:tc>
          <w:tcPr>
            <w:tcW w:type="pct" w:w="20%"/>
            <w:shd w:fill="E8ECEB" w:val="clear"/>
            <w:tcMar>
              <w:top w:type="dxa" w:w="50"/>
              <w:left w:type="dxa" w:w="120"/>
              <w:bottom w:type="dxa" w:w="50"/>
              <w:right w:type="dxa" w:w="120"/>
            </w:tcMar>
          </w:tcPr>
          <w:p>
            <w:r>
              <w:rPr>
                <w:rFonts w:ascii="Calibri"/>
                <w:color w:val="1A2B40"/>
                <w:sz w:val="21"/>
                <w:szCs w:val="21"/>
              </w:rPr>
              <w:t xml:space="preserve">Critical</w:t>
            </w:r>
          </w:p>
        </w:tc>
      </w:tr>
      <w:tr>
        <w:trPr>
          <w:cantSplit/>
        </w:trPr>
        <w:tc>
          <w:tcPr>
            <w:tcW w:type="pct" w:w="22%"/>
            <w:tcMar>
              <w:top w:type="dxa" w:w="50"/>
              <w:left w:type="dxa" w:w="120"/>
              <w:bottom w:type="dxa" w:w="50"/>
              <w:right w:type="dxa" w:w="120"/>
            </w:tcMar>
          </w:tcPr>
          <w:p>
            <w:r>
              <w:rPr>
                <w:rFonts w:ascii="Calibri"/>
                <w:color w:val="1A2B40"/>
                <w:sz w:val="21"/>
                <w:szCs w:val="21"/>
              </w:rPr>
              <w:t xml:space="preserve">engine.py</w:t>
            </w:r>
          </w:p>
        </w:tc>
        <w:tc>
          <w:tcPr>
            <w:tcW w:type="pct" w:w="40%"/>
            <w:tcMar>
              <w:top w:type="dxa" w:w="50"/>
              <w:left w:type="dxa" w:w="120"/>
              <w:bottom w:type="dxa" w:w="50"/>
              <w:right w:type="dxa" w:w="120"/>
            </w:tcMar>
          </w:tcPr>
          <w:p>
            <w:r>
              <w:rPr>
                <w:rFonts w:ascii="Calibri"/>
                <w:color w:val="1A2B40"/>
                <w:sz w:val="21"/>
                <w:szCs w:val="21"/>
              </w:rPr>
              <w:t xml:space="preserve">Revert STANDARD threshold to 70</w:t>
            </w:r>
          </w:p>
        </w:tc>
        <w:tc>
          <w:tcPr>
            <w:tcW w:type="pct" w:w="18%"/>
            <w:tcMar>
              <w:top w:type="dxa" w:w="50"/>
              <w:left w:type="dxa" w:w="120"/>
              <w:bottom w:type="dxa" w:w="50"/>
              <w:right w:type="dxa" w:w="120"/>
            </w:tcMar>
          </w:tcPr>
          <w:p>
            <w:r>
              <w:rPr>
                <w:rFonts w:ascii="Calibri"/>
                <w:color w:val="1A2B40"/>
                <w:sz w:val="21"/>
                <w:szCs w:val="21"/>
              </w:rPr>
              <w:t xml:space="preserve">1 line</w:t>
            </w:r>
          </w:p>
        </w:tc>
        <w:tc>
          <w:tcPr>
            <w:tcW w:type="pct" w:w="20%"/>
            <w:tcMar>
              <w:top w:type="dxa" w:w="50"/>
              <w:left w:type="dxa" w:w="120"/>
              <w:bottom w:type="dxa" w:w="50"/>
              <w:right w:type="dxa" w:w="120"/>
            </w:tcMar>
          </w:tcPr>
          <w:p>
            <w:r>
              <w:rPr>
                <w:rFonts w:ascii="Calibri"/>
                <w:color w:val="1A2B40"/>
                <w:sz w:val="21"/>
                <w:szCs w:val="21"/>
              </w:rPr>
              <w:t xml:space="preserve">Critical</w:t>
            </w:r>
          </w:p>
        </w:tc>
      </w:tr>
    </w:tbl>
    <w:p>
      <w:pPr>
        <w:spacing w:after="120" w:line="312"/>
        <w:jc w:val="both"/>
      </w:pPr>
      <w:r>
        <w:rPr>
          <w:rFonts w:ascii="Calibri" w:eastAsia="Microsoft YaHei"/>
          <w:color w:val="1A2B40"/>
          <w:sz w:val="24"/>
          <w:szCs w:val="24"/>
        </w:rPr>
        <w:t xml:space="preserve">Table 6: Code changes required for Option B hybrid restoration.</w:t>
      </w:r>
    </w:p>
    <w:p>
      <w:pPr>
        <w:spacing w:after="120" w:line="312"/>
        <w:ind w:firstLine="480"/>
        <w:jc w:val="both"/>
      </w:pPr>
      <w:r>
        <w:rPr>
          <w:rFonts w:ascii="Calibri" w:eastAsia="Microsoft YaHei"/>
          <w:color w:val="1A2B40"/>
          <w:sz w:val="24"/>
          <w:szCs w:val="24"/>
        </w:rPr>
        <w:t xml:space="preserve">The BC1/BC2 decay removal is the most significant change. In the current v7 implementation, the backtest runner tracks the number of bars since each BC signal last fired and applies a linear decay multiplier. Removing this requires simplifying the scoring loop to treat BC1 and BC2 like any other binary signal: check the condition, return full points if true, zero if false. The signal functions in signals.py should also be simplified to remove the decay parameter and return a simple boolean or fixed-point result.</w:t>
      </w:r>
    </w:p>
    <w:p>
      <w:pPr>
        <w:spacing w:after="120" w:line="312"/>
        <w:ind w:firstLine="480"/>
        <w:jc w:val="both"/>
      </w:pPr>
      <w:r>
        <w:rPr>
          <w:rFonts w:ascii="Calibri" w:eastAsia="Microsoft YaHei"/>
          <w:color w:val="1A2B40"/>
          <w:sz w:val="24"/>
          <w:szCs w:val="24"/>
        </w:rPr>
        <w:t xml:space="preserve">The threshold revert is a single constant change in both engine.py (the classify function) and apollo_backtest.py (the entry condition in the trade extraction loop). The ADX filter removal involves deleting the conditional block that checks adx_series against the 20-point threshold before allowing new entries. These are straightforward deletions with no side effects on other components.</w:t>
      </w:r>
    </w:p>
    <w:p>
      <w:pPr>
        <w:pStyle w:val="Heading2"/>
        <w:spacing w:after="120" w:before="240" w:line="312"/>
      </w:pPr>
      <w:bookmarkStart w:id="100017" w:name="_Toc100017"/>
      <w:r>
        <w:rPr>
          <w:rFonts w:ascii="Calibri" w:eastAsia="SimHei"/>
          <w:b/>
          <w:bCs/>
          <w:color w:val="101820"/>
          <w:sz w:val="28"/>
          <w:szCs w:val="28"/>
        </w:rPr>
        <w:t xml:space="preserve">7.2 Validation Steps</w:t>
      </w:r>
      <w:bookmarkEnd w:id="100017"/>
    </w:p>
    <w:p>
      <w:pPr>
        <w:spacing w:after="120" w:line="312"/>
        <w:ind w:firstLine="480"/>
        <w:jc w:val="both"/>
      </w:pPr>
      <w:r>
        <w:rPr>
          <w:rFonts w:ascii="Calibri" w:eastAsia="Microsoft YaHei"/>
          <w:color w:val="1A2B40"/>
          <w:sz w:val="24"/>
          <w:szCs w:val="24"/>
        </w:rPr>
        <w:t xml:space="preserve">After implementing the code changes, the following validation steps should be performed. First, run the full backtest and verify that the cumulative P&amp;L is in the expected range of +240% to +270%. Second, verify that the number of completed trades is 9 or 10 (the v6 baseline is 10, but minor differences in signal timing may produce 9). Third, verify that 4 or more divergence exits are present, confirming that the stateful RSI tracking mechanism is functioning. Fourth, verify that the Bonus C pool utilization is above 50% (the v6 baseline is 57%). Fifth, verify that the classification distribution shows approximately 100-120 STANDARD days and 40-55 FULL ENTRY days.</w:t>
      </w:r>
    </w:p>
    <w:p>
      <w:pPr>
        <w:spacing w:after="120" w:line="312"/>
        <w:ind w:firstLine="480"/>
        <w:jc w:val="both"/>
      </w:pPr>
      <w:r>
        <w:rPr>
          <w:rFonts w:ascii="Calibri" w:eastAsia="Microsoft YaHei"/>
          <w:color w:val="1A2B40"/>
          <w:sz w:val="24"/>
          <w:szCs w:val="24"/>
        </w:rPr>
        <w:t xml:space="preserve">If the P&amp;L falls significantly short of the expected range, the most likely cause is an incomplete removal of the BC decay logic. Check that the bc_decay_bars counter in the backtest scoring loop is not being applied to the BC signal points. If the trade count is lower than expected, check that the ADX filter has been fully removed and that no other gate conditions were inadvertently introduced during the audit implementation. The 4H alignment fix should not affect P&amp;L and should be left in place regardless of the validation results.</w:t>
      </w:r>
    </w:p>
    <w:p>
      <w:pPr>
        <w:pStyle w:val="Heading2"/>
        <w:spacing w:after="120" w:before="240" w:line="312"/>
      </w:pPr>
      <w:bookmarkStart w:id="100018" w:name="_Toc100018"/>
      <w:r>
        <w:rPr>
          <w:rFonts w:ascii="Calibri" w:eastAsia="SimHei"/>
          <w:b/>
          <w:bCs/>
          <w:color w:val="101820"/>
          <w:sz w:val="28"/>
          <w:szCs w:val="28"/>
        </w:rPr>
        <w:t xml:space="preserve">7.3 Versioning and Documentation</w:t>
      </w:r>
      <w:bookmarkEnd w:id="100018"/>
    </w:p>
    <w:p>
      <w:pPr>
        <w:spacing w:after="120" w:line="312"/>
        <w:ind w:firstLine="480"/>
        <w:jc w:val="both"/>
      </w:pPr>
      <w:r>
        <w:rPr>
          <w:rFonts w:ascii="Calibri" w:eastAsia="Microsoft YaHei"/>
          <w:color w:val="1A2B40"/>
          <w:sz w:val="24"/>
          <w:szCs w:val="24"/>
        </w:rPr>
        <w:t xml:space="preserve">The restored build should be versioned as v8 to distinguish it from both v6 (the original GitHub version) and v7 (the audit implementation). The version label should indicate the hybrid nature of the configuration, for example 'v8-Hybrid' in the report header. The XLSX report should be generated with all five sheets and the full 24-signal breakdown to maintain consistency with the existing report format. A brief changelog should be appended to the worklog documenting which audit items were retained and which were reverted, along with the rationale for each decision.</w:t>
      </w:r>
    </w:p>
    <w:p>
      <w:pPr>
        <w:spacing w:after="120" w:line="312"/>
        <w:ind w:firstLine="480"/>
        <w:jc w:val="both"/>
      </w:pPr>
      <w:r>
        <w:rPr>
          <w:rFonts w:ascii="Calibri" w:eastAsia="Microsoft YaHei"/>
          <w:color w:val="1A2B40"/>
          <w:sz w:val="24"/>
          <w:szCs w:val="24"/>
        </w:rPr>
        <w:t xml:space="preserve">The deliverables for this restoration are: the updated apollo_backtest.py with hybrid configuration, the updated signals.py with binary BC1/BC2, the updated engine.py with threshold 70, the full XLSX backtest report (Apollo_Engine_BT_140726_v8.xlsx), and an updated engine package zip for distribution. All files should be saved to the download directory following the existing naming convention.</w:t>
      </w:r>
    </w:p>
    <w:p>
      <w:pPr>
        <w:pStyle w:val="Heading1"/>
        <w:spacing w:after="160" w:before="360" w:line="312"/>
      </w:pPr>
      <w:bookmarkStart w:id="100019" w:name="_Toc100019"/>
      <w:r>
        <w:rPr>
          <w:rFonts w:ascii="Calibri" w:eastAsia="SimHei"/>
          <w:b/>
          <w:bCs/>
          <w:color w:val="101820"/>
          <w:sz w:val="32"/>
          <w:szCs w:val="32"/>
        </w:rPr>
        <w:t xml:space="preserve">8. Risk Assessment and Caveats</w:t>
      </w:r>
      <w:bookmarkEnd w:id="100019"/>
    </w:p>
    <w:p>
      <w:pPr>
        <w:spacing w:after="120" w:line="312"/>
        <w:ind w:firstLine="480"/>
        <w:jc w:val="both"/>
      </w:pPr>
      <w:r>
        <w:rPr>
          <w:rFonts w:ascii="Calibri" w:eastAsia="Microsoft YaHei"/>
          <w:color w:val="1A2B40"/>
          <w:sz w:val="24"/>
          <w:szCs w:val="24"/>
        </w:rPr>
        <w:t xml:space="preserve">The primary risk of the restoration is that the v6 performance was partially dependent on specific market conditions in APOLLO stock during the backtest period (January 2025 to July 2026). This period saw a strong uptrend from 120.68 to 408.85 (+238.8%), and the engine's recovery-focused signals are inherently biased toward capturing upward trends. The high P&amp;L may not be representative of future performance in different market regimes, particularly in bear markets or extended consolidation phases.</w:t>
      </w:r>
    </w:p>
    <w:p>
      <w:pPr>
        <w:spacing w:after="120" w:line="312"/>
        <w:ind w:firstLine="480"/>
        <w:jc w:val="both"/>
      </w:pPr>
      <w:r>
        <w:rPr>
          <w:rFonts w:ascii="Calibri" w:eastAsia="Microsoft YaHei"/>
          <w:color w:val="1A2B40"/>
          <w:sz w:val="24"/>
          <w:szCs w:val="24"/>
        </w:rPr>
        <w:t xml:space="preserve">The divergence exit mechanism, while highly effective in this backtest, has a known limitation: it can produce premature exits in strong trending markets where RSI naturally pulls back while price continues higher. The July 3 trade in v6 (+5.5% divergence exit followed by continued price appreciation to 450.05) is an example of this. In a live trading environment, this would result in leaving significant upside on the table. The user should consider whether to add a confirmation requirement (such as a second consecutive lower RSI reading) before triggering divergence exits.</w:t>
      </w:r>
    </w:p>
    <w:p>
      <w:pPr>
        <w:spacing w:after="120" w:line="312"/>
        <w:ind w:firstLine="480"/>
        <w:jc w:val="both"/>
      </w:pPr>
      <w:r>
        <w:rPr>
          <w:rFonts w:ascii="Calibri" w:eastAsia="Microsoft YaHei"/>
          <w:color w:val="1A2B40"/>
          <w:sz w:val="24"/>
          <w:szCs w:val="24"/>
        </w:rPr>
        <w:t xml:space="preserve">The removal of the ADX sideways filter, while beneficial for P&amp;L in this specific backtest, increases exposure to false entries during consolidation periods. In live trading, this could lead to a cluster of small losses during sideways markets that would not appear in a single-stock backtest. If the engine will be deployed on multiple stocks or in real-time, the ADX filter or a similar volatility-based gate should be reconsidered with a more permissive threshold (e.g., ADX &lt; 15 instead of ADX &lt; 20).</w:t>
      </w:r>
    </w:p>
    <w:p>
      <w:pPr>
        <w:spacing w:after="120" w:line="312"/>
        <w:ind w:firstLine="480"/>
        <w:jc w:val="both"/>
      </w:pPr>
      <w:r>
        <w:rPr>
          <w:rFonts w:ascii="Calibri" w:eastAsia="Microsoft YaHei"/>
          <w:color w:val="1A2B40"/>
          <w:sz w:val="24"/>
          <w:szCs w:val="24"/>
        </w:rPr>
        <w:t xml:space="preserve">Finally, the B6 signal (WC21 Proximity) was added in the audit and is retained in the hybrid approach. Its current hit rate of 15.6% and contribution of 0.6% are low but not zero. On a different stock or time period, B6 may prove more or less valuable. The user should monitor B6's contribution in future backtests and consider adjusting its parameters (currently 1 pt per 1% gain, max 5 pts, zeroed above 5% distance from WC21) if it consistently underperforms.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8"/>
        <w:szCs w:val="18"/>
      </w:rPr>
      <w:t xml:space="preserve">Apollo Engine P&amp;L Regression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2026-07-13T20:11:16.741Z</dcterms:created>
  <dcterms:modified xsi:type="dcterms:W3CDTF">2026-07-13T20:11:16.742Z</dcterms:modified>
</cp:coreProperties>
</file>

<file path=docProps/custom.xml><?xml version="1.0" encoding="utf-8"?>
<Properties xmlns="http://schemas.openxmlformats.org/officeDocument/2006/custom-properties" xmlns:vt="http://schemas.openxmlformats.org/officeDocument/2006/docPropsVTypes"/>
</file>