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Top 5 Expense Categories</w:t>
      </w:r>
    </w:p>
    <w:p>
      <w:r>
        <w:br/>
        <w:t xml:space="preserve">    This report highlights the top 5 expense categories based on the total spending from credit card</w:t>
        <w:br/>
        <w:t xml:space="preserve">    transactions. Understanding these categories can provide insights into consumer behavior and</w:t>
        <w:br/>
        <w:t xml:space="preserve">    spending patterns.</w:t>
        <w:br/>
        <w:t xml:space="preserve">    </w:t>
        <w:br/>
        <w:t xml:space="preserve">    The following trends are observed:</w:t>
        <w:br/>
        <w:t xml:space="preserve">    </w:t>
      </w:r>
    </w:p>
    <w:p>
      <w:r>
        <w:t xml:space="preserve">1. </w:t>
      </w:r>
      <w:r>
        <w:rPr>
          <w:b/>
        </w:rPr>
        <w:t xml:space="preserve">Category Dominance: </w:t>
      </w:r>
    </w:p>
    <w:p>
      <w:r>
        <w:t>Certain categories typically dominate total spending.</w:t>
      </w:r>
    </w:p>
    <w:p>
      <w:r>
        <w:t xml:space="preserve">2. </w:t>
      </w:r>
      <w:r>
        <w:rPr>
          <w:b/>
        </w:rPr>
        <w:t xml:space="preserve">Budget Allocation: </w:t>
      </w:r>
    </w:p>
    <w:p>
      <w:r>
        <w:t>Analyzing the percentage contribution helps businesses and individuals to budget effectively.</w:t>
      </w:r>
    </w:p>
    <w:p>
      <w:r>
        <w:t xml:space="preserve">3. </w:t>
      </w:r>
      <w:r>
        <w:rPr>
          <w:b/>
        </w:rPr>
        <w:t xml:space="preserve">Behavior Insights: </w:t>
      </w:r>
    </w:p>
    <w:p>
      <w:r>
        <w:t>Identifying high-spending categories may indicate consumer preferences and trends over time.</w:t>
      </w:r>
    </w:p>
    <w:p>
      <w:r>
        <w:br/>
        <w:t>The table below presents the top 5 expense categories along with their respective total spends and percentage contributions to the overall spending.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exp_type</w:t>
            </w:r>
          </w:p>
        </w:tc>
        <w:tc>
          <w:tcPr>
            <w:tcW w:type="dxa" w:w="2880"/>
          </w:tcPr>
          <w:p>
            <w:r>
              <w:t>total_spend</w:t>
            </w:r>
          </w:p>
        </w:tc>
        <w:tc>
          <w:tcPr>
            <w:tcW w:type="dxa" w:w="2880"/>
          </w:tcPr>
          <w:p>
            <w:r>
              <w:t>percentage_contribution</w:t>
            </w:r>
          </w:p>
        </w:tc>
      </w:tr>
      <w:tr>
        <w:tc>
          <w:tcPr>
            <w:tcW w:type="dxa" w:w="2880"/>
          </w:tcPr>
          <w:p>
            <w:r>
              <w:t>Groceries</w:t>
            </w:r>
          </w:p>
        </w:tc>
        <w:tc>
          <w:tcPr>
            <w:tcW w:type="dxa" w:w="2880"/>
          </w:tcPr>
          <w:p>
            <w:r>
              <w:t>15000</w:t>
            </w:r>
          </w:p>
        </w:tc>
        <w:tc>
          <w:tcPr>
            <w:tcW w:type="dxa" w:w="2880"/>
          </w:tcPr>
          <w:p>
            <w:r>
              <w:t>30.0</w:t>
            </w:r>
          </w:p>
        </w:tc>
      </w:tr>
      <w:tr>
        <w:tc>
          <w:tcPr>
            <w:tcW w:type="dxa" w:w="2880"/>
          </w:tcPr>
          <w:p>
            <w:r>
              <w:t>Entertainment</w:t>
            </w:r>
          </w:p>
        </w:tc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24.0</w:t>
            </w:r>
          </w:p>
        </w:tc>
      </w:tr>
      <w:tr>
        <w:tc>
          <w:tcPr>
            <w:tcW w:type="dxa" w:w="2880"/>
          </w:tcPr>
          <w:p>
            <w:r>
              <w:t>Travel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20.0</w:t>
            </w:r>
          </w:p>
        </w:tc>
      </w:tr>
      <w:tr>
        <w:tc>
          <w:tcPr>
            <w:tcW w:type="dxa" w:w="2880"/>
          </w:tcPr>
          <w:p>
            <w:r>
              <w:t>Dining</w:t>
            </w:r>
          </w:p>
        </w:tc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16.0</w:t>
            </w:r>
          </w:p>
        </w:tc>
      </w:tr>
      <w:tr>
        <w:tc>
          <w:tcPr>
            <w:tcW w:type="dxa" w:w="2880"/>
          </w:tcPr>
          <w:p>
            <w:r>
              <w:t>Health</w:t>
            </w:r>
          </w:p>
        </w:tc>
        <w:tc>
          <w:tcPr>
            <w:tcW w:type="dxa" w:w="2880"/>
          </w:tcPr>
          <w:p>
            <w:r>
              <w:t>5000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