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Top 5 Expense Categories</w:t>
      </w:r>
    </w:p>
    <w:p>
      <w:pPr>
        <w:jc w:val="both"/>
      </w:pPr>
      <w:r>
        <w:rPr>
          <w:rFonts w:ascii="Arial" w:hAnsi="Arial"/>
          <w:sz w:val="24"/>
        </w:rPr>
        <w:br/>
        <w:t xml:space="preserve"> This report highlights the top 5 expense categories based on the total spending from credit card transactions. Understanding these categories can provide insights into consumer behavior and spending patterns.</w:t>
      </w:r>
    </w:p>
    <w:p>
      <w:r>
        <w:br/>
        <w:t>The following trends are observed:</w:t>
        <w:br/>
      </w:r>
    </w:p>
    <w:p>
      <w:pPr>
        <w:jc w:val="both"/>
      </w:pPr>
      <w:r>
        <w:rPr>
          <w:b/>
        </w:rPr>
        <w:t xml:space="preserve">Overview: </w:t>
      </w:r>
      <w:r>
        <w:t>The data offers a glimpse into the spending habits of individuals, with a focus on five primary categories: Bills, Food, Fuel, Entertainment, and Grocery. Together, these categories account for a significant proportion of overall expenses, shaping the budget allocation strategies and consumer behavior trends that follow.</w:t>
      </w:r>
    </w:p>
    <w:p>
      <w:pPr>
        <w:jc w:val="both"/>
      </w:pPr>
      <w:r>
        <w:rPr>
          <w:b/>
        </w:rPr>
        <w:t xml:space="preserve">Category Dominance: </w:t>
      </w:r>
      <w:r>
        <w:t>Bills and essential living expenses take the lead, accounting for 22.26% of total spending. This is closely followed by Food (20.24%) and Fuel (19.37%). These three categories form the backbone of necessary expenses, with Entertainment and Grocery expenses trailing slightly behind, yet still holding notable portions of the budget at 17.83% and 17.63%, respectively.</w:t>
      </w:r>
    </w:p>
    <w:p>
      <w:pPr>
        <w:jc w:val="both"/>
      </w:pPr>
      <w:r>
        <w:rPr>
          <w:b/>
        </w:rPr>
        <w:t xml:space="preserve">Budget Allocation: </w:t>
      </w:r>
      <w:r>
        <w:t>The distribution of expenses highlights the dominance of fixed or semi-fixed costs in the presented data. Bills, Fuel, and Grocery are less discretionary and tend to be more stable or predictable expenses. Food and Entertainment, on the other hand, offer more flexibility for budget adjustments. Considering the significant spending on Bills, reviewing and negotiating rates for services could lead to cost savings. Additionally, conscious budgeting and spending strategies for Food and Entertainment expenses may help curb overall costs without compromising on essential needs.</w:t>
      </w:r>
    </w:p>
    <w:p>
      <w:pPr>
        <w:jc w:val="both"/>
      </w:pPr>
      <w:r>
        <w:rPr>
          <w:b/>
        </w:rPr>
        <w:t xml:space="preserve">Behavior Insights: </w:t>
      </w:r>
      <w:r>
        <w:t>The spending distribution suggests a focus on covering basic necessities first, with a notable allocation towards entertainment, indicating an understanding of the importance of leisure activities in maintaining a balanced lifestyle. The data also hints at potential correlations between spending categories. For instance, higher fuel spending may be associated with increased grocery expenses, suggesting that individuals are willing to travel farther for their essential needs. Additionally, the similar spending percentages for Food and Entertainment suggest that individuals may be prioritizing these two categories equally in their budget allocations.</w:t>
      </w:r>
    </w:p>
    <w:p>
      <w:pPr>
        <w:jc w:val="both"/>
      </w:pPr>
      <w:r>
        <w:rPr>
          <w:b/>
        </w:rPr>
        <w:t xml:space="preserve">Recommendations: </w:t>
      </w:r>
      <w:r>
        <w:t>Based on the analysis, individuals may benefit from reviewing their bill expenses and negotiating better rates or switching to more cost-effective service providers. Given the significant spending on Food and Entertainment, implementing budgeting tools and conscious spending habits in these areas could lead to substantial savings. Additionally, considering the potential correlation between Fuel and Grocery expenses, exploring options for more localized shopping could help reduce fuel costs. Finally, as external factors, the current economic climate, and inflation rates may influence future spending habits, especially in the Bills and Fuel categories. Proactive budget adjustments in anticipation of these factors can help maintain financial stability.</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exp_type</w:t>
            </w:r>
          </w:p>
        </w:tc>
        <w:tc>
          <w:tcPr>
            <w:tcW w:type="dxa" w:w="2880"/>
          </w:tcPr>
          <w:p>
            <w:pPr>
              <w:jc w:val="center"/>
            </w:pPr>
            <w:r>
              <w:t>total_spend</w:t>
            </w:r>
          </w:p>
        </w:tc>
        <w:tc>
          <w:tcPr>
            <w:tcW w:type="dxa" w:w="2880"/>
          </w:tcPr>
          <w:p>
            <w:pPr>
              <w:jc w:val="center"/>
            </w:pPr>
            <w:r>
              <w:t>percentage_contribution</w:t>
            </w:r>
          </w:p>
        </w:tc>
      </w:tr>
      <w:tr>
        <w:tc>
          <w:tcPr>
            <w:tcW w:type="dxa" w:w="2880"/>
          </w:tcPr>
          <w:p>
            <w:pPr>
              <w:jc w:val="center"/>
            </w:pPr>
            <w:r>
              <w:t>Bills</w:t>
            </w:r>
          </w:p>
        </w:tc>
        <w:tc>
          <w:tcPr>
            <w:tcW w:type="dxa" w:w="2880"/>
          </w:tcPr>
          <w:p>
            <w:pPr>
              <w:jc w:val="center"/>
            </w:pPr>
            <w:r>
              <w:t>907072473.0</w:t>
            </w:r>
          </w:p>
        </w:tc>
        <w:tc>
          <w:tcPr>
            <w:tcW w:type="dxa" w:w="2880"/>
          </w:tcPr>
          <w:p>
            <w:pPr>
              <w:jc w:val="center"/>
            </w:pPr>
            <w:r>
              <w:t>22.26</w:t>
            </w:r>
          </w:p>
        </w:tc>
      </w:tr>
      <w:tr>
        <w:tc>
          <w:tcPr>
            <w:tcW w:type="dxa" w:w="2880"/>
          </w:tcPr>
          <w:p>
            <w:pPr>
              <w:jc w:val="center"/>
            </w:pPr>
            <w:r>
              <w:t>Food</w:t>
            </w:r>
          </w:p>
        </w:tc>
        <w:tc>
          <w:tcPr>
            <w:tcW w:type="dxa" w:w="2880"/>
          </w:tcPr>
          <w:p>
            <w:pPr>
              <w:jc w:val="center"/>
            </w:pPr>
            <w:r>
              <w:t>824724009.0</w:t>
            </w:r>
          </w:p>
        </w:tc>
        <w:tc>
          <w:tcPr>
            <w:tcW w:type="dxa" w:w="2880"/>
          </w:tcPr>
          <w:p>
            <w:pPr>
              <w:jc w:val="center"/>
            </w:pPr>
            <w:r>
              <w:t>20.24</w:t>
            </w:r>
          </w:p>
        </w:tc>
      </w:tr>
      <w:tr>
        <w:tc>
          <w:tcPr>
            <w:tcW w:type="dxa" w:w="2880"/>
          </w:tcPr>
          <w:p>
            <w:pPr>
              <w:jc w:val="center"/>
            </w:pPr>
            <w:r>
              <w:t>Fuel</w:t>
            </w:r>
          </w:p>
        </w:tc>
        <w:tc>
          <w:tcPr>
            <w:tcW w:type="dxa" w:w="2880"/>
          </w:tcPr>
          <w:p>
            <w:pPr>
              <w:jc w:val="center"/>
            </w:pPr>
            <w:r>
              <w:t>789135821.0</w:t>
            </w:r>
          </w:p>
        </w:tc>
        <w:tc>
          <w:tcPr>
            <w:tcW w:type="dxa" w:w="2880"/>
          </w:tcPr>
          <w:p>
            <w:pPr>
              <w:jc w:val="center"/>
            </w:pPr>
            <w:r>
              <w:t>19.37</w:t>
            </w:r>
          </w:p>
        </w:tc>
      </w:tr>
      <w:tr>
        <w:tc>
          <w:tcPr>
            <w:tcW w:type="dxa" w:w="2880"/>
          </w:tcPr>
          <w:p>
            <w:pPr>
              <w:jc w:val="center"/>
            </w:pPr>
            <w:r>
              <w:t>Entertainment</w:t>
            </w:r>
          </w:p>
        </w:tc>
        <w:tc>
          <w:tcPr>
            <w:tcW w:type="dxa" w:w="2880"/>
          </w:tcPr>
          <w:p>
            <w:pPr>
              <w:jc w:val="center"/>
            </w:pPr>
            <w:r>
              <w:t>726437536.0</w:t>
            </w:r>
          </w:p>
        </w:tc>
        <w:tc>
          <w:tcPr>
            <w:tcW w:type="dxa" w:w="2880"/>
          </w:tcPr>
          <w:p>
            <w:pPr>
              <w:jc w:val="center"/>
            </w:pPr>
            <w:r>
              <w:t>17.83</w:t>
            </w:r>
          </w:p>
        </w:tc>
      </w:tr>
      <w:tr>
        <w:tc>
          <w:tcPr>
            <w:tcW w:type="dxa" w:w="2880"/>
          </w:tcPr>
          <w:p>
            <w:pPr>
              <w:jc w:val="center"/>
            </w:pPr>
            <w:r>
              <w:t>Grocery</w:t>
            </w:r>
          </w:p>
        </w:tc>
        <w:tc>
          <w:tcPr>
            <w:tcW w:type="dxa" w:w="2880"/>
          </w:tcPr>
          <w:p>
            <w:pPr>
              <w:jc w:val="center"/>
            </w:pPr>
            <w:r>
              <w:t>718207923.0</w:t>
            </w:r>
          </w:p>
        </w:tc>
        <w:tc>
          <w:tcPr>
            <w:tcW w:type="dxa" w:w="2880"/>
          </w:tcPr>
          <w:p>
            <w:pPr>
              <w:jc w:val="center"/>
            </w:pPr>
            <w:r>
              <w:t>17.63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