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Top 5 Expense Categories</w:t>
      </w:r>
    </w:p>
    <w:p>
      <w:pPr>
        <w:jc w:val="both"/>
      </w:pPr>
      <w:r>
        <w:rPr>
          <w:rFonts w:ascii="Arial" w:hAnsi="Arial"/>
          <w:sz w:val="24"/>
        </w:rPr>
        <w:br/>
        <w:t xml:space="preserve"> This report highlights the top 5 expense categories based on the total spending from credit card transactions. Understanding these categories can provide insights into consumer behavior and spending patterns.</w:t>
      </w:r>
    </w:p>
    <w:p>
      <w:r>
        <w:br/>
        <w:t>The following trends are observed:</w:t>
        <w:br/>
      </w:r>
    </w:p>
    <w:p>
      <w:pPr>
        <w:jc w:val="both"/>
      </w:pPr>
      <w:r>
        <w:rPr>
          <w:b/>
        </w:rPr>
        <w:t xml:space="preserve">Overview: </w:t>
      </w:r>
      <w:r>
        <w:t>The data offers a glimpse into the spending habits of individuals, with a focus on five primary expense categories: Bills, Food, Fuel, Entertainment, and Grocery. Together, these categories account for a significant proportion of overall spending, shaping the budget allocation strategies and financial habits of individuals.</w:t>
      </w:r>
    </w:p>
    <w:p>
      <w:pPr>
        <w:jc w:val="both"/>
      </w:pPr>
      <w:r>
        <w:rPr>
          <w:b/>
        </w:rPr>
        <w:t xml:space="preserve">Category Dominance: </w:t>
      </w:r>
      <w:r>
        <w:t>Bills stand out as the most significant expense, totaling over 900 crores and representing 22.26% of the total spend. This underscores the essential nature of this category, likely encompassing utilities, rent, and other recurring payments.Food and Fuel expenses are also substantial, with Food accounting for nearly 20.24% of the total spend, and Fuel, while slightly lower at 19.37%, likely reflects essential transportation costs and could be indicative of commuting habits or vehicle ownership trends.Entertainment and Grocery expenses are relatively closer, with Entertainment taking a share of 17.83% and Grocery at 17.63%. These categories could be subject to more discretionary spending and reflect lifestyle choices.</w:t>
      </w:r>
    </w:p>
    <w:p>
      <w:pPr>
        <w:jc w:val="both"/>
      </w:pPr>
      <w:r>
        <w:rPr>
          <w:b/>
        </w:rPr>
        <w:t xml:space="preserve">Budget Allocation: </w:t>
      </w:r>
      <w:r>
        <w:t>The distribution of expenses highlights the essential nature of the top three categories: Bills, Food, and Fuel. Together, they account for over 60% of the total spend, indicating that a significant portion of an individual's budget is dedicated to covering these basic needs.Given the dominance of these categories, budget allocation strategies should focus on ensuring that essential needs are met while also exploring opportunities for cost savings. For instance, reviewing and comparing utility providers or negotiating rental terms could help optimize Bill expenses.The proximity in spending between Entertainment and Grocery suggests that individuals prioritize leisure activities alongside essential food purchases. This could be an area to target for potential cost savings, especially if discretionary spending needs to be curbed.</w:t>
      </w:r>
    </w:p>
    <w:p>
      <w:pPr>
        <w:jc w:val="both"/>
      </w:pPr>
      <w:r>
        <w:rPr>
          <w:b/>
        </w:rPr>
        <w:t xml:space="preserve">Behavior Insights: </w:t>
      </w:r>
      <w:r>
        <w:t>The high spending on Bills could indicate a reliance on credit for essential needs, or it may reflect the inclusion of significant rent or mortgage payments in this category.The Food and Fuel categories are likely intertwined, with Fuel expenses potentially influenced by the need to travel for grocery shopping or dining out. This could suggest that individuals are willing to incur higher transportation costs to access their preferred food options or dining experiences.Entertainment spending is notable, potentially indicating a priority for leisure activities and experiences. This could be an area where individuals seek to enhance their lifestyle, even if it means tighter budgets elsewhere.</w:t>
      </w:r>
    </w:p>
    <w:p>
      <w:pPr>
        <w:jc w:val="both"/>
      </w:pPr>
      <w:r>
        <w:rPr>
          <w:b/>
        </w:rPr>
        <w:t xml:space="preserve">Recommendations: </w:t>
      </w:r>
      <w:r>
        <w:t>Review essential expenses, such as Bills, to identify opportunities for cost savings through provider switches, negotiated rates, or budget billing plans.Encourage cost-conscious behaviors for Fuel expenses, such as efficient driving practices or exploring cost-effective transportation alternatives, especially if public transportation is accessible.Promote mindful spending in the Entertainment category, suggesting budget-friendly leisure options or emphasizing the benefits of occasional indulgences rather than frequent high-cost experiences.For Grocery expenses, recommend cost-saving strategies such as meal planning, creating a grocery list, and taking advantage of discounts or loyalty programs to optimize spending.</w:t>
      </w:r>
    </w:p>
    <w:p>
      <w:r>
        <w:br/>
        <w:t>The table below presents the expense categories along with their respective total spends and percentage contributions to the overall spending.</w:t>
        <w:br/>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t>exp_type</w:t>
            </w:r>
          </w:p>
        </w:tc>
        <w:tc>
          <w:tcPr>
            <w:tcW w:type="dxa" w:w="2880"/>
          </w:tcPr>
          <w:p>
            <w:pPr>
              <w:jc w:val="center"/>
            </w:pPr>
            <w:r>
              <w:t>total_spend</w:t>
            </w:r>
          </w:p>
        </w:tc>
        <w:tc>
          <w:tcPr>
            <w:tcW w:type="dxa" w:w="2880"/>
          </w:tcPr>
          <w:p>
            <w:pPr>
              <w:jc w:val="center"/>
            </w:pPr>
            <w:r>
              <w:t>percentage_contribution</w:t>
            </w:r>
          </w:p>
        </w:tc>
      </w:tr>
      <w:tr>
        <w:tc>
          <w:tcPr>
            <w:tcW w:type="dxa" w:w="2880"/>
          </w:tcPr>
          <w:p>
            <w:pPr>
              <w:jc w:val="center"/>
            </w:pPr>
            <w:r>
              <w:t>Bills</w:t>
            </w:r>
          </w:p>
        </w:tc>
        <w:tc>
          <w:tcPr>
            <w:tcW w:type="dxa" w:w="2880"/>
          </w:tcPr>
          <w:p>
            <w:pPr>
              <w:jc w:val="center"/>
            </w:pPr>
            <w:r>
              <w:t>907072473.0</w:t>
            </w:r>
          </w:p>
        </w:tc>
        <w:tc>
          <w:tcPr>
            <w:tcW w:type="dxa" w:w="2880"/>
          </w:tcPr>
          <w:p>
            <w:pPr>
              <w:jc w:val="center"/>
            </w:pPr>
            <w:r>
              <w:t>22.26</w:t>
            </w:r>
          </w:p>
        </w:tc>
      </w:tr>
      <w:tr>
        <w:tc>
          <w:tcPr>
            <w:tcW w:type="dxa" w:w="2880"/>
          </w:tcPr>
          <w:p>
            <w:pPr>
              <w:jc w:val="center"/>
            </w:pPr>
            <w:r>
              <w:t>Food</w:t>
            </w:r>
          </w:p>
        </w:tc>
        <w:tc>
          <w:tcPr>
            <w:tcW w:type="dxa" w:w="2880"/>
          </w:tcPr>
          <w:p>
            <w:pPr>
              <w:jc w:val="center"/>
            </w:pPr>
            <w:r>
              <w:t>824724009.0</w:t>
            </w:r>
          </w:p>
        </w:tc>
        <w:tc>
          <w:tcPr>
            <w:tcW w:type="dxa" w:w="2880"/>
          </w:tcPr>
          <w:p>
            <w:pPr>
              <w:jc w:val="center"/>
            </w:pPr>
            <w:r>
              <w:t>20.24</w:t>
            </w:r>
          </w:p>
        </w:tc>
      </w:tr>
      <w:tr>
        <w:tc>
          <w:tcPr>
            <w:tcW w:type="dxa" w:w="2880"/>
          </w:tcPr>
          <w:p>
            <w:pPr>
              <w:jc w:val="center"/>
            </w:pPr>
            <w:r>
              <w:t>Fuel</w:t>
            </w:r>
          </w:p>
        </w:tc>
        <w:tc>
          <w:tcPr>
            <w:tcW w:type="dxa" w:w="2880"/>
          </w:tcPr>
          <w:p>
            <w:pPr>
              <w:jc w:val="center"/>
            </w:pPr>
            <w:r>
              <w:t>789135821.0</w:t>
            </w:r>
          </w:p>
        </w:tc>
        <w:tc>
          <w:tcPr>
            <w:tcW w:type="dxa" w:w="2880"/>
          </w:tcPr>
          <w:p>
            <w:pPr>
              <w:jc w:val="center"/>
            </w:pPr>
            <w:r>
              <w:t>19.37</w:t>
            </w:r>
          </w:p>
        </w:tc>
      </w:tr>
      <w:tr>
        <w:tc>
          <w:tcPr>
            <w:tcW w:type="dxa" w:w="2880"/>
          </w:tcPr>
          <w:p>
            <w:pPr>
              <w:jc w:val="center"/>
            </w:pPr>
            <w:r>
              <w:t>Entertainment</w:t>
            </w:r>
          </w:p>
        </w:tc>
        <w:tc>
          <w:tcPr>
            <w:tcW w:type="dxa" w:w="2880"/>
          </w:tcPr>
          <w:p>
            <w:pPr>
              <w:jc w:val="center"/>
            </w:pPr>
            <w:r>
              <w:t>726437536.0</w:t>
            </w:r>
          </w:p>
        </w:tc>
        <w:tc>
          <w:tcPr>
            <w:tcW w:type="dxa" w:w="2880"/>
          </w:tcPr>
          <w:p>
            <w:pPr>
              <w:jc w:val="center"/>
            </w:pPr>
            <w:r>
              <w:t>17.83</w:t>
            </w:r>
          </w:p>
        </w:tc>
      </w:tr>
      <w:tr>
        <w:tc>
          <w:tcPr>
            <w:tcW w:type="dxa" w:w="2880"/>
          </w:tcPr>
          <w:p>
            <w:pPr>
              <w:jc w:val="center"/>
            </w:pPr>
            <w:r>
              <w:t>Grocery</w:t>
            </w:r>
          </w:p>
        </w:tc>
        <w:tc>
          <w:tcPr>
            <w:tcW w:type="dxa" w:w="2880"/>
          </w:tcPr>
          <w:p>
            <w:pPr>
              <w:jc w:val="center"/>
            </w:pPr>
            <w:r>
              <w:t>718207923.0</w:t>
            </w:r>
          </w:p>
        </w:tc>
        <w:tc>
          <w:tcPr>
            <w:tcW w:type="dxa" w:w="2880"/>
          </w:tcPr>
          <w:p>
            <w:pPr>
              <w:jc w:val="center"/>
            </w:pPr>
            <w:r>
              <w:t>17.63</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