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Spend Distribution Across Card Types</w:t>
      </w:r>
    </w:p>
    <w:p>
      <w:pPr>
        <w:jc w:val="both"/>
      </w:pPr>
      <w:r>
        <w:rPr>
          <w:rFonts w:ascii="Arial" w:hAnsi="Arial"/>
          <w:sz w:val="24"/>
        </w:rPr>
        <w:br/>
        <w:t xml:space="preserve"> This report analyzes how spending is distributed among different card types. Understanding these distributions can aid in identifying consumer preferences for specific card types.</w:t>
      </w:r>
    </w:p>
    <w:p>
      <w:r>
        <w:br/>
        <w:t>The following trends are observed:</w:t>
        <w:br/>
      </w:r>
    </w:p>
    <w:p>
      <w:pPr>
        <w:jc w:val="both"/>
      </w:pPr>
      <w:r>
        <w:rPr>
          <w:b/>
        </w:rPr>
        <w:t xml:space="preserve">Overview: </w:t>
      </w:r>
      <w:r>
        <w:t>The data presents information on four categories of credit card expense categories: 'Gold', 'Signature', 'Platinum', and 'Silver'. The total spending and average expenses for each category are provided, offering a glimpse into the spending habits and potential preferences of cardholders.</w:t>
      </w:r>
    </w:p>
    <w:p>
      <w:pPr>
        <w:jc w:val="both"/>
      </w:pPr>
      <w:r>
        <w:rPr>
          <w:b/>
        </w:rPr>
        <w:t xml:space="preserve">Category Dominance: </w:t>
      </w:r>
      <w:r>
        <w:t>The 'Gold' and 'Signature' categories appear to be the most popular, with total expenses exceeding 990,000 for both. 'Platinum' follows closely behind, with 'Silver' showing lower total expenses, indicating that cardholders in these categories might have different spending behaviors or limits. The average expenses suggest that cardholders in the 'Gold' and 'Signature' categories could be making more frequent transactions.</w:t>
      </w:r>
    </w:p>
    <w:p>
      <w:pPr>
        <w:jc w:val="both"/>
      </w:pPr>
      <w:r>
        <w:rPr>
          <w:b/>
        </w:rPr>
        <w:t xml:space="preserve">Budget Allocation: </w:t>
      </w:r>
      <w:r>
        <w:t>Based on the data, it seems that a significant portion of cardholders' budgets is allocated to these four categories. With the high total expenses, there might be opportunities to introduce cost-saving measures or budgeting strategies to ensure efficient spending. Analyzing the frequency and nature of transactions within each category could help identify areas where spending can be optimized.</w:t>
      </w:r>
    </w:p>
    <w:p>
      <w:pPr>
        <w:jc w:val="both"/>
      </w:pPr>
      <w:r>
        <w:rPr>
          <w:b/>
        </w:rPr>
        <w:t xml:space="preserve">Behavior Insights: </w:t>
      </w:r>
      <w:r>
        <w:t>There could be a correlation between the spending behaviors of cardholders in the 'Gold' and 'Signature' categories. The similar total expenses and average transaction values might indicate that cardholders in these categories share similar spending patterns or purchasing power. Analyzing transaction data over time could reveal further insights into the behavior and preferences of these cardholders.</w:t>
      </w:r>
    </w:p>
    <w:p>
      <w:pPr>
        <w:jc w:val="both"/>
      </w:pPr>
      <w:r>
        <w:rPr>
          <w:b/>
        </w:rPr>
        <w:t xml:space="preserve">Recommendations: </w:t>
      </w:r>
      <w:r>
        <w:t>Considering the dominance of the 'Gold' and 'Signature' categories, reviewing the benefits and features associated with these cards could be beneficial. Understanding the spending patterns and preferences of cardholders in these categories might inform strategies to attract and retain customers. Additionally, analyzing the 'Platinum' and 'Silver' categories for potential cost-saving measures or targeted promotions could be worthwhile. External factors such as economic trends and consumer behavior shifts should also be monitored to adjust budgeting strategies accordingly.</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card_type</w:t>
            </w:r>
          </w:p>
        </w:tc>
        <w:tc>
          <w:tcPr>
            <w:tcW w:type="dxa" w:w="2880"/>
          </w:tcPr>
          <w:p>
            <w:pPr>
              <w:jc w:val="center"/>
            </w:pPr>
            <w:r>
              <w:t>highest_spend_amount</w:t>
            </w:r>
          </w:p>
        </w:tc>
        <w:tc>
          <w:tcPr>
            <w:tcW w:type="dxa" w:w="2880"/>
          </w:tcPr>
          <w:p>
            <w:pPr>
              <w:jc w:val="center"/>
            </w:pPr>
            <w:r>
              <w:t>lowest_spend_amount</w:t>
            </w:r>
          </w:p>
        </w:tc>
      </w:tr>
      <w:tr>
        <w:tc>
          <w:tcPr>
            <w:tcW w:type="dxa" w:w="2880"/>
          </w:tcPr>
          <w:p>
            <w:pPr>
              <w:jc w:val="center"/>
            </w:pPr>
            <w:r>
              <w:t>Gold</w:t>
            </w:r>
          </w:p>
        </w:tc>
        <w:tc>
          <w:tcPr>
            <w:tcW w:type="dxa" w:w="2880"/>
          </w:tcPr>
          <w:p>
            <w:pPr>
              <w:jc w:val="center"/>
            </w:pPr>
            <w:r>
              <w:t>996754.0</w:t>
            </w:r>
          </w:p>
        </w:tc>
        <w:tc>
          <w:tcPr>
            <w:tcW w:type="dxa" w:w="2880"/>
          </w:tcPr>
          <w:p>
            <w:pPr>
              <w:jc w:val="center"/>
            </w:pPr>
            <w:r>
              <w:t>1038.0</w:t>
            </w:r>
          </w:p>
        </w:tc>
      </w:tr>
      <w:tr>
        <w:tc>
          <w:tcPr>
            <w:tcW w:type="dxa" w:w="2880"/>
          </w:tcPr>
          <w:p>
            <w:pPr>
              <w:jc w:val="center"/>
            </w:pPr>
            <w:r>
              <w:t>Signature</w:t>
            </w:r>
          </w:p>
        </w:tc>
        <w:tc>
          <w:tcPr>
            <w:tcW w:type="dxa" w:w="2880"/>
          </w:tcPr>
          <w:p>
            <w:pPr>
              <w:jc w:val="center"/>
            </w:pPr>
            <w:r>
              <w:t>994537.0</w:t>
            </w:r>
          </w:p>
        </w:tc>
        <w:tc>
          <w:tcPr>
            <w:tcW w:type="dxa" w:w="2880"/>
          </w:tcPr>
          <w:p>
            <w:pPr>
              <w:jc w:val="center"/>
            </w:pPr>
            <w:r>
              <w:t>1024.0</w:t>
            </w:r>
          </w:p>
        </w:tc>
      </w:tr>
      <w:tr>
        <w:tc>
          <w:tcPr>
            <w:tcW w:type="dxa" w:w="2880"/>
          </w:tcPr>
          <w:p>
            <w:pPr>
              <w:jc w:val="center"/>
            </w:pPr>
            <w:r>
              <w:t>Platinum</w:t>
            </w:r>
          </w:p>
        </w:tc>
        <w:tc>
          <w:tcPr>
            <w:tcW w:type="dxa" w:w="2880"/>
          </w:tcPr>
          <w:p>
            <w:pPr>
              <w:jc w:val="center"/>
            </w:pPr>
            <w:r>
              <w:t>998077.0</w:t>
            </w:r>
          </w:p>
        </w:tc>
        <w:tc>
          <w:tcPr>
            <w:tcW w:type="dxa" w:w="2880"/>
          </w:tcPr>
          <w:p>
            <w:pPr>
              <w:jc w:val="center"/>
            </w:pPr>
            <w:r>
              <w:t>1005.0</w:t>
            </w:r>
          </w:p>
        </w:tc>
      </w:tr>
      <w:tr>
        <w:tc>
          <w:tcPr>
            <w:tcW w:type="dxa" w:w="2880"/>
          </w:tcPr>
          <w:p>
            <w:pPr>
              <w:jc w:val="center"/>
            </w:pPr>
            <w:r>
              <w:t>Silver</w:t>
            </w:r>
          </w:p>
        </w:tc>
        <w:tc>
          <w:tcPr>
            <w:tcW w:type="dxa" w:w="2880"/>
          </w:tcPr>
          <w:p>
            <w:pPr>
              <w:jc w:val="center"/>
            </w:pPr>
            <w:r>
              <w:t>955468.0</w:t>
            </w:r>
          </w:p>
        </w:tc>
        <w:tc>
          <w:tcPr>
            <w:tcW w:type="dxa" w:w="2880"/>
          </w:tcPr>
          <w:p>
            <w:pPr>
              <w:jc w:val="center"/>
            </w:pPr>
            <w:r>
              <w:t>1018.0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