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Fastest Growth in Spending</w:t>
      </w:r>
    </w:p>
    <w:p>
      <w:pPr>
        <w:jc w:val="both"/>
      </w:pPr>
      <w:r>
        <w:rPr>
          <w:rFonts w:ascii="Arial" w:hAnsi="Arial"/>
          <w:sz w:val="24"/>
        </w:rPr>
        <w:br/>
        <w:t xml:space="preserve"> This report identifies the cities or categories showing the fastest growth in spending over a defined period. Such insights can help understand emerging trends and growth areas.</w:t>
      </w:r>
    </w:p>
    <w:p>
      <w:r>
        <w:br/>
        <w:t>The following trends are observed:</w:t>
        <w:br/>
      </w:r>
    </w:p>
    <w:p>
      <w:pPr>
        <w:jc w:val="both"/>
      </w:pPr>
      <w:r>
        <w:rPr>
          <w:b/>
        </w:rPr>
        <w:t xml:space="preserve">Overview: </w:t>
      </w:r>
      <w:r>
        <w:t>The data provided offers a glimpse into the spending habits of an individual holding a Platinum credit card. The total expenditure for this period sums up to \u20b91,007,639,019 with the average transaction amount being \u20b91,57,492.81.</w:t>
      </w:r>
    </w:p>
    <w:p>
      <w:pPr>
        <w:jc w:val="both"/>
      </w:pPr>
      <w:r>
        <w:rPr>
          <w:b/>
        </w:rPr>
        <w:t xml:space="preserve">Category Dominance: </w:t>
      </w:r>
      <w:r>
        <w:t>Expense-wise, the dominant category here is 'Others' which accounts for a large proportion of the total spending. This indicates that a significant portion of the cardholder's spending goes towards miscellaneous purchases or categories not specifically mentioned in the data.</w:t>
      </w:r>
    </w:p>
    <w:p>
      <w:pPr>
        <w:jc w:val="both"/>
      </w:pPr>
      <w:r>
        <w:rPr>
          <w:b/>
        </w:rPr>
        <w:t xml:space="preserve">Budget Allocation: </w:t>
      </w:r>
      <w:r>
        <w:t>A deep dive into the budget allocation strategy reveals that a majority of the expenses are geared towards this 'Others' category. This could indicate either a diverse range of spending habits or a lack of specificity in expense classification. To optimize costs, it would be beneficial to break down this category into more specific sub-categories, identifying areas where spending could be curbed or expenses could be optimized.</w:t>
      </w:r>
    </w:p>
    <w:p>
      <w:pPr>
        <w:jc w:val="both"/>
      </w:pPr>
      <w:r>
        <w:rPr>
          <w:b/>
        </w:rPr>
        <w:t xml:space="preserve">Behavior Insights: </w:t>
      </w:r>
      <w:r>
        <w:t>Analyzing consumer behavior, we can observe that the cardholder exhibits a tendency towards higher spending in the 'Others' category, which could suggest a preference for diverse or unique purchases. There might be a potential correlation between this category and certain lifestyle choices or specific interests that drive these expenses. Further analysis could uncover patterns or relationships with other spending categories.</w:t>
      </w:r>
    </w:p>
    <w:p>
      <w:pPr>
        <w:jc w:val="both"/>
      </w:pPr>
      <w:r>
        <w:rPr>
          <w:b/>
        </w:rPr>
        <w:t xml:space="preserve">Suggestions: </w:t>
      </w:r>
      <w:r>
        <w:t>To adjust the budget effectively, a detailed breakdown of the 'Others' category is recommended. This could involve analyzing transaction descriptions and merchant data to allocate expenses to more specific categories. This practice would provide better visibility and control over spending. Additionally, reviewing external factors such as lifestyle choices, subscription services, or discretionary spending habits could reveal opportunities for cost savings. Regular expense reviews and setting spending limits for specific categories may also help optimize the budget further.</w:t>
      </w:r>
    </w:p>
    <w:p>
      <w:r>
        <w:br/>
        <w:t>The table below presents the expense categories along with their respective total spends and percentage contributions to the overall spending.</w:t>
        <w:br/>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card_type</w:t>
            </w:r>
          </w:p>
        </w:tc>
        <w:tc>
          <w:tcPr>
            <w:tcW w:type="dxa" w:w="2160"/>
          </w:tcPr>
          <w:p>
            <w:pPr>
              <w:jc w:val="center"/>
            </w:pPr>
            <w:r>
              <w:t>transaction_count</w:t>
            </w:r>
          </w:p>
        </w:tc>
        <w:tc>
          <w:tcPr>
            <w:tcW w:type="dxa" w:w="2160"/>
          </w:tcPr>
          <w:p>
            <w:pPr>
              <w:jc w:val="center"/>
            </w:pPr>
            <w:r>
              <w:t>total_spend</w:t>
            </w:r>
          </w:p>
        </w:tc>
        <w:tc>
          <w:tcPr>
            <w:tcW w:type="dxa" w:w="2160"/>
          </w:tcPr>
          <w:p>
            <w:pPr>
              <w:jc w:val="center"/>
            </w:pPr>
            <w:r>
              <w:t>average_spend_per_transaction</w:t>
            </w:r>
          </w:p>
        </w:tc>
      </w:tr>
      <w:tr>
        <w:tc>
          <w:tcPr>
            <w:tcW w:type="dxa" w:w="2160"/>
          </w:tcPr>
          <w:p>
            <w:pPr>
              <w:jc w:val="center"/>
            </w:pPr>
            <w:r>
              <w:t>Platinum</w:t>
            </w:r>
          </w:p>
        </w:tc>
        <w:tc>
          <w:tcPr>
            <w:tcW w:type="dxa" w:w="2160"/>
          </w:tcPr>
          <w:p>
            <w:pPr>
              <w:jc w:val="center"/>
            </w:pPr>
            <w:r>
              <w:t>6398</w:t>
            </w:r>
          </w:p>
        </w:tc>
        <w:tc>
          <w:tcPr>
            <w:tcW w:type="dxa" w:w="2160"/>
          </w:tcPr>
          <w:p>
            <w:pPr>
              <w:jc w:val="center"/>
            </w:pPr>
            <w:r>
              <w:t>1007639019.0</w:t>
            </w:r>
          </w:p>
        </w:tc>
        <w:tc>
          <w:tcPr>
            <w:tcW w:type="dxa" w:w="2160"/>
          </w:tcPr>
          <w:p>
            <w:pPr>
              <w:jc w:val="center"/>
            </w:pPr>
            <w:r>
              <w:t>157492.813222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