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key categories: Bills, Food, Fuel, Entertainment, and Grocery. Together, these categories account for a significant proportion of overall expenses, shaping the budget allocation strategies and spending behaviors of individuals.</w:t>
      </w:r>
    </w:p>
    <w:p>
      <w:pPr>
        <w:jc w:val="both"/>
      </w:pPr>
      <w:r>
        <w:rPr>
          <w:b/>
        </w:rPr>
        <w:t xml:space="preserve">Category Dominance: </w:t>
      </w:r>
      <w:r>
        <w:t>Bills, Food, and Fuel expenses dominate this dataset, collectively accounting for over 60% of total spending. Bills represent the single largest category, followed closely by Food, indicating that these essential expenses form the backbone of budget planning for most individuals.</w:t>
      </w:r>
    </w:p>
    <w:p>
      <w:pPr>
        <w:jc w:val="both"/>
      </w:pPr>
      <w:r>
        <w:rPr>
          <w:b/>
        </w:rPr>
        <w:t xml:space="preserve">Budget Allocation: </w:t>
      </w:r>
      <w:r>
        <w:t>The allocation of resources towards Bills suggests that this category is a non-negotiable area of spending, likely encompassing utilities, rent or mortgage payments, and other fixed charges. Food and Fuel, though variable, are also essential expenditures, highlighting the priority individuals place on sustenance and mobility. Entertainment and Grocery, while lower in overall spending, still represent areas where individuals choose to allocate a significant portion of their budgets.</w:t>
      </w:r>
    </w:p>
    <w:p>
      <w:pPr>
        <w:jc w:val="both"/>
      </w:pPr>
      <w:r>
        <w:rPr>
          <w:b/>
        </w:rPr>
        <w:t xml:space="preserve">Behavior Insights: </w:t>
      </w:r>
      <w:r>
        <w:t>The prominence of Food and Entertainment categories indicates a preference for experiences and leisure activities. This suggests that individuals are willing to spend on dining out, entertainment options, and potentially travel, which could be areas to target for cost-saving measures. The Fuel category could be influenced by external factors such as distance traveled, vehicle efficiency, and fuel prices, offering opportunities for budget adjustments through alternative transportation choices or fuel-saving practices.</w:t>
      </w:r>
    </w:p>
    <w:p>
      <w:pPr>
        <w:jc w:val="both"/>
      </w:pPr>
      <w:r>
        <w:rPr>
          <w:b/>
        </w:rPr>
        <w:t xml:space="preserve">Potential Cost Savings: </w:t>
      </w:r>
      <w:r>
        <w:t>To optimize spending, individuals could consider reviewing their entertainment choices, opting for cost-effective alternatives like streaming services instead of frequent dining out or expensive leisure activities. Negotiating bills, such as insurance premiums or subscription services, could also lead to savings. Additionally, adopting fuel-efficient practices or leveraging loyalty programs could help reduce fuel expenses. For groceries, planning meals, creating a budget, and making a list before shopping can prevent overspending.</w:t>
      </w:r>
    </w:p>
    <w:p>
      <w:pPr>
        <w:jc w:val="both"/>
      </w:pPr>
      <w:r>
        <w:rPr>
          <w:b/>
        </w:rPr>
        <w:t xml:space="preserve">Budget Adjustments: </w:t>
      </w:r>
      <w:r>
        <w:t>Given the essential nature of Bills, Food, and Fuel, drastic reductions in these areas may not be feasible. However, individuals can benefit from reviewing and negotiating contracts, shopping around for better deals, and practicing energy efficiency to potentially lower utility bills. For fuel expenses, in addition to efficient practices, individuals can consider carpooling or opt for more fuel-efficient transportation methods. Food expenses can be optimized by cooking at home, meal prepping, and taking advantage of discounts at grocery stores.</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22.260357</w:t>
            </w:r>
          </w:p>
        </w:tc>
      </w:tr>
      <w:tr>
        <w:tc>
          <w:tcPr>
            <w:tcW w:type="dxa" w:w="2880"/>
          </w:tcPr>
          <w:p>
            <w:pPr>
              <w:jc w:val="center"/>
            </w:pPr>
            <w:r>
              <w:t>Food</w:t>
            </w:r>
          </w:p>
        </w:tc>
        <w:tc>
          <w:tcPr>
            <w:tcW w:type="dxa" w:w="2880"/>
          </w:tcPr>
          <w:p>
            <w:pPr>
              <w:jc w:val="center"/>
            </w:pPr>
            <w:r>
              <w:t>824724009.0</w:t>
            </w:r>
          </w:p>
        </w:tc>
        <w:tc>
          <w:tcPr>
            <w:tcW w:type="dxa" w:w="2880"/>
          </w:tcPr>
          <w:p>
            <w:pPr>
              <w:jc w:val="center"/>
            </w:pPr>
            <w:r>
              <w:t>20.239453</w:t>
            </w:r>
          </w:p>
        </w:tc>
      </w:tr>
      <w:tr>
        <w:tc>
          <w:tcPr>
            <w:tcW w:type="dxa" w:w="2880"/>
          </w:tcPr>
          <w:p>
            <w:pPr>
              <w:jc w:val="center"/>
            </w:pPr>
            <w:r>
              <w:t>Fuel</w:t>
            </w:r>
          </w:p>
        </w:tc>
        <w:tc>
          <w:tcPr>
            <w:tcW w:type="dxa" w:w="2880"/>
          </w:tcPr>
          <w:p>
            <w:pPr>
              <w:jc w:val="center"/>
            </w:pPr>
            <w:r>
              <w:t>789135821.0</w:t>
            </w:r>
          </w:p>
        </w:tc>
        <w:tc>
          <w:tcPr>
            <w:tcW w:type="dxa" w:w="2880"/>
          </w:tcPr>
          <w:p>
            <w:pPr>
              <w:jc w:val="center"/>
            </w:pPr>
            <w:r>
              <w:t>19.366088</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17.827416</w:t>
            </w:r>
          </w:p>
        </w:tc>
      </w:tr>
      <w:tr>
        <w:tc>
          <w:tcPr>
            <w:tcW w:type="dxa" w:w="2880"/>
          </w:tcPr>
          <w:p>
            <w:pPr>
              <w:jc w:val="center"/>
            </w:pPr>
            <w:r>
              <w:t>Grocery</w:t>
            </w:r>
          </w:p>
        </w:tc>
        <w:tc>
          <w:tcPr>
            <w:tcW w:type="dxa" w:w="2880"/>
          </w:tcPr>
          <w:p>
            <w:pPr>
              <w:jc w:val="center"/>
            </w:pPr>
            <w:r>
              <w:t>718207923.0</w:t>
            </w:r>
          </w:p>
        </w:tc>
        <w:tc>
          <w:tcPr>
            <w:tcW w:type="dxa" w:w="2880"/>
          </w:tcPr>
          <w:p>
            <w:pPr>
              <w:jc w:val="center"/>
            </w:pPr>
            <w:r>
              <w:t>17.625455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