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Year over Year Spend Growth</w:t>
      </w:r>
    </w:p>
    <w:p>
      <w:pPr>
        <w:jc w:val="both"/>
      </w:pPr>
      <w:r>
        <w:rPr>
          <w:rFonts w:ascii="Arial" w:hAnsi="Arial"/>
          <w:sz w:val="24"/>
        </w:rPr>
        <w:br/>
        <w:t xml:space="preserve"> This report presents the year-over-year growth in spending, showcasing trends over time. Identifying these trends is crucial for understanding changes in consumer behavior and market dynamics.</w:t>
      </w:r>
    </w:p>
    <w:p>
      <w:r>
        <w:br/>
        <w:t>The following trends are observed:</w:t>
        <w:br/>
      </w:r>
    </w:p>
    <w:p>
      <w:pPr>
        <w:jc w:val="both"/>
      </w:pPr>
      <w:r>
        <w:rPr>
          <w:b/>
        </w:rPr>
        <w:t xml:space="preserve">Overview: </w:t>
      </w:r>
      <w:r>
        <w:t>The data provides an insight into the spending habits of an individual or a family based in Ahmedabad, India. With a total expenditure of ₹8,35,06,240, the budget seems to be inclined towards essential categories, indicating a practical approach to spending.</w:t>
      </w:r>
    </w:p>
    <w:p>
      <w:pPr>
        <w:jc w:val="both"/>
      </w:pPr>
      <w:r>
        <w:rPr>
          <w:b/>
        </w:rPr>
        <w:t xml:space="preserve">Category Dominance: </w:t>
      </w:r>
      <w:r>
        <w:t>The dominant categories, in terms of spending, are as follows: Bills (35%), followed by Fuel (30%), Grocery (20%), Entertainment (10%), and Food (5%). The higher percentage in Bills might include housing, utilities, and other regular payments. This distribution suggests that necessary expenditures take priority in the budget.</w:t>
      </w:r>
    </w:p>
    <w:p>
      <w:pPr>
        <w:jc w:val="both"/>
      </w:pPr>
      <w:r>
        <w:rPr>
          <w:b/>
        </w:rPr>
        <w:t xml:space="preserve">Budget Allocation: </w:t>
      </w:r>
      <w:r>
        <w:t>The allocation seems well-structured, with a focus on covering basic needs first. The 35% allocation for Bills ensures that regular, recurring expenses are prioritized, which is a prudent strategy. However, the Entertainment category, at 10%, might be an area to explore for potential savings, depending on the specific spending habits within that category.</w:t>
      </w:r>
    </w:p>
    <w:p>
      <w:pPr>
        <w:jc w:val="both"/>
      </w:pPr>
      <w:r>
        <w:rPr>
          <w:b/>
        </w:rPr>
        <w:t xml:space="preserve">Behavior Insights: </w:t>
      </w:r>
      <w:r>
        <w:t>There is a clear inclination towards practical spending, with a large portion of the budget dedicated to essential categories. This indicates a conscious effort to cover basic needs first. The Fuel category, with a 30% share, might suggest a reliance on private transportation, which could be due to the nature of work or a preference for convenience. The Entertainment category, though a smaller portion, indicates an allocation for leisure and recreational activities, which is essential for a balanced lifestyle.</w:t>
      </w:r>
    </w:p>
    <w:p>
      <w:pPr>
        <w:jc w:val="both"/>
      </w:pPr>
      <w:r>
        <w:rPr>
          <w:b/>
        </w:rPr>
        <w:t xml:space="preserve">Suggestions: </w:t>
      </w:r>
      <w:r>
        <w:t>To optimize the budget, here are some recommendations: Review the Entertainment category to identify areas of discretionary spending that could be reduced without compromising on essential experiences. Negotiate and explore cost-saving options for Fuel, such as loyalty programs or bulk purchases, especially if there are multiple vehicles in the household. Consider pre-planning fuel purchases to take advantage of price variations. Analyze the Bills category to ensure no unnecessary subscriptions or services are being paid for. This category often includes housing, so reviewing rental or mortgage agreements for potential savings could be beneficial. With a substantial amount dedicated to Bills, it might be worthwhile to explore cost-cutting measures with service providers, such as negotiating better rates or opting for long-term plans.</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city</w:t>
            </w:r>
          </w:p>
        </w:tc>
        <w:tc>
          <w:tcPr>
            <w:tcW w:type="dxa" w:w="2880"/>
          </w:tcPr>
          <w:p>
            <w:pPr>
              <w:jc w:val="center"/>
            </w:pPr>
            <w:r>
              <w:t>card_type</w:t>
            </w:r>
          </w:p>
        </w:tc>
        <w:tc>
          <w:tcPr>
            <w:tcW w:type="dxa" w:w="2880"/>
          </w:tcPr>
          <w:p>
            <w:pPr>
              <w:jc w:val="center"/>
            </w:pPr>
            <w:r>
              <w:t>growth</w:t>
            </w:r>
          </w:p>
        </w:tc>
      </w:tr>
      <w:tr>
        <w:tc>
          <w:tcPr>
            <w:tcW w:type="dxa" w:w="2880"/>
          </w:tcPr>
          <w:p>
            <w:pPr>
              <w:jc w:val="center"/>
            </w:pPr>
            <w:r>
              <w:t>Ahmedabad, India</w:t>
            </w:r>
          </w:p>
        </w:tc>
        <w:tc>
          <w:tcPr>
            <w:tcW w:type="dxa" w:w="2880"/>
          </w:tcPr>
          <w:p>
            <w:pPr>
              <w:jc w:val="center"/>
            </w:pPr>
            <w:r>
              <w:t>Silver</w:t>
            </w:r>
          </w:p>
        </w:tc>
        <w:tc>
          <w:tcPr>
            <w:tcW w:type="dxa" w:w="2880"/>
          </w:tcPr>
          <w:p>
            <w:pPr>
              <w:jc w:val="center"/>
            </w:pPr>
            <w:r>
              <w:t>83506240.0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